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eastAsia" w:ascii="方正小标宋简体" w:hAnsi="黑体" w:eastAsia="方正小标宋简体" w:cs="黑体"/>
          <w:sz w:val="44"/>
          <w:szCs w:val="44"/>
          <w:lang w:val="en-US" w:eastAsia="zh-CN"/>
        </w:rPr>
      </w:pPr>
      <w:r>
        <w:rPr>
          <w:rFonts w:hint="eastAsia" w:ascii="方正小标宋简体" w:hAnsi="黑体" w:eastAsia="方正小标宋简体" w:cs="黑体"/>
          <w:sz w:val="44"/>
          <w:szCs w:val="44"/>
          <w:lang w:val="en-US" w:eastAsia="zh-CN"/>
        </w:rPr>
        <w:t>主流媒体关于宁波新闻报道的专题数字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center"/>
        <w:textAlignment w:val="auto"/>
        <w:rPr>
          <w:rFonts w:ascii="黑体" w:hAnsi="宋体" w:eastAsia="黑体" w:cs="黑体"/>
          <w:i w:val="0"/>
          <w:iCs w:val="0"/>
          <w:caps w:val="0"/>
          <w:color w:val="000000"/>
          <w:spacing w:val="0"/>
          <w:kern w:val="0"/>
          <w:sz w:val="27"/>
          <w:szCs w:val="27"/>
          <w:shd w:val="clear" w:color="auto" w:fill="FFFFFF"/>
          <w:lang w:val="en-US" w:eastAsia="zh-CN" w:bidi="ar"/>
        </w:rPr>
      </w:pPr>
      <w:r>
        <w:rPr>
          <w:rFonts w:hint="eastAsia" w:ascii="方正小标宋简体" w:hAnsi="黑体" w:eastAsia="方正小标宋简体" w:cs="黑体"/>
          <w:sz w:val="44"/>
          <w:szCs w:val="44"/>
          <w:lang w:val="en-US" w:eastAsia="zh-CN"/>
        </w:rPr>
        <w:t>资源库建设项目</w:t>
      </w:r>
      <w:r>
        <w:rPr>
          <w:rFonts w:hint="eastAsia" w:ascii="方正小标宋简体" w:hAnsi="黑体" w:eastAsia="方正小标宋简体" w:cs="黑体"/>
          <w:sz w:val="44"/>
          <w:szCs w:val="44"/>
        </w:rPr>
        <w:t>招标需求方案</w:t>
      </w:r>
    </w:p>
    <w:p>
      <w:pPr>
        <w:pStyle w:val="2"/>
        <w:numPr>
          <w:ilvl w:val="0"/>
          <w:numId w:val="2"/>
        </w:numPr>
        <w:bidi w:val="0"/>
        <w:ind w:left="-173" w:leftChars="0"/>
        <w:jc w:val="both"/>
        <w:rPr>
          <w:rFonts w:hint="default"/>
          <w:lang w:val="en-US" w:eastAsia="zh-CN"/>
        </w:rPr>
      </w:pPr>
      <w:r>
        <w:rPr>
          <w:rFonts w:hint="eastAsia"/>
          <w:lang w:val="en-US" w:eastAsia="zh-CN"/>
        </w:rPr>
        <w:t>投标人须知</w:t>
      </w:r>
    </w:p>
    <w:p>
      <w:pPr>
        <w:numPr>
          <w:ilvl w:val="0"/>
          <w:numId w:val="3"/>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工程地点：宁波市海曙区解放北路69号（宁波市档案馆大楼）</w:t>
      </w:r>
    </w:p>
    <w:p>
      <w:pPr>
        <w:numPr>
          <w:ilvl w:val="0"/>
          <w:numId w:val="3"/>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招标人：宁波市档案馆</w:t>
      </w:r>
    </w:p>
    <w:p>
      <w:pPr>
        <w:numPr>
          <w:ilvl w:val="0"/>
          <w:numId w:val="3"/>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采购：本项目最高限价为人民币</w:t>
      </w:r>
      <w:r>
        <w:rPr>
          <w:rFonts w:hint="eastAsia" w:ascii="仿宋" w:hAnsi="仿宋" w:eastAsia="仿宋" w:cs="仿宋"/>
          <w:color w:val="FF0000"/>
          <w:sz w:val="28"/>
          <w:szCs w:val="28"/>
          <w:lang w:val="en-US" w:eastAsia="zh-CN"/>
        </w:rPr>
        <w:t>12.5万元</w:t>
      </w:r>
      <w:r>
        <w:rPr>
          <w:rFonts w:hint="eastAsia" w:ascii="仿宋" w:hAnsi="仿宋" w:eastAsia="仿宋" w:cs="仿宋"/>
          <w:sz w:val="28"/>
          <w:szCs w:val="28"/>
          <w:lang w:val="en-US" w:eastAsia="zh-CN"/>
        </w:rPr>
        <w:t>，投标报价不得高于本项目最高限价，否则做废标处理。</w:t>
      </w:r>
    </w:p>
    <w:p>
      <w:pPr>
        <w:numPr>
          <w:ilvl w:val="0"/>
          <w:numId w:val="3"/>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招标方式：邀请招标。请各投标单位根据采购招标公告，按招标要求进行报价，以便我方选择“价格合理、质量上优”的产品及服务。</w:t>
      </w:r>
    </w:p>
    <w:p>
      <w:pPr>
        <w:pStyle w:val="2"/>
        <w:numPr>
          <w:ilvl w:val="0"/>
          <w:numId w:val="2"/>
        </w:numPr>
        <w:bidi w:val="0"/>
        <w:ind w:left="-173" w:leftChars="0" w:hanging="575"/>
        <w:jc w:val="both"/>
        <w:rPr>
          <w:rFonts w:hint="default"/>
          <w:b/>
          <w:lang w:val="en-US" w:eastAsia="zh-CN"/>
        </w:rPr>
      </w:pPr>
      <w:r>
        <w:rPr>
          <w:rFonts w:hint="eastAsia"/>
          <w:b/>
          <w:lang w:val="en-US" w:eastAsia="zh-CN"/>
        </w:rPr>
        <w:t>投标文件</w:t>
      </w:r>
    </w:p>
    <w:p>
      <w:pPr>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1.资格证明文件：1份（复印件加盖公章）。</w:t>
      </w:r>
    </w:p>
    <w:p>
      <w:pPr>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（1）企业法人营业执照，（副本）复印件（加盖公章）；</w:t>
      </w:r>
    </w:p>
    <w:p>
      <w:pPr>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（2）企业相关资质证明，（副本）复印件（加盖公章）；</w:t>
      </w:r>
    </w:p>
    <w:p>
      <w:pPr>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（3）如报价人不是本公司法人代表，须提供本人身份证复印件和有法人代表签字的《法人代表授权书》并加盖公章。</w:t>
      </w:r>
    </w:p>
    <w:p>
      <w:pPr>
        <w:numPr>
          <w:ilvl w:val="0"/>
          <w:numId w:val="0"/>
        </w:numP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2.投标文件：根据我单位要求，提供书面报价、实施方案及以往案例等。正本一份、副本两份。</w:t>
      </w:r>
    </w:p>
    <w:p>
      <w:pPr>
        <w:spacing w:before="156" w:beforeLines="50" w:after="156" w:afterLines="50" w:line="360" w:lineRule="auto"/>
        <w:rPr>
          <w:rFonts w:hint="default"/>
          <w:color w:val="auto"/>
          <w:lang w:val="en-US" w:eastAsia="zh-CN"/>
        </w:rPr>
      </w:pPr>
      <w:r>
        <w:rPr>
          <w:rFonts w:hint="eastAsia" w:ascii="仿宋" w:hAnsi="仿宋" w:eastAsia="仿宋" w:cs="仿宋"/>
          <w:color w:val="auto"/>
          <w:sz w:val="28"/>
          <w:szCs w:val="28"/>
          <w:shd w:val="clear" w:color="auto" w:fill="FFFFFF"/>
          <w:lang w:val="en-US" w:eastAsia="zh-CN"/>
        </w:rPr>
        <w:t>3.</w:t>
      </w:r>
      <w:r>
        <w:rPr>
          <w:rFonts w:hint="eastAsia" w:ascii="仿宋" w:hAnsi="仿宋" w:eastAsia="仿宋" w:cs="仿宋"/>
          <w:color w:val="auto"/>
          <w:sz w:val="28"/>
          <w:szCs w:val="28"/>
          <w:shd w:val="clear" w:color="auto" w:fill="FFFFFF"/>
        </w:rPr>
        <w:t>投标截止时间：</w:t>
      </w:r>
      <w:r>
        <w:rPr>
          <w:rFonts w:hint="eastAsia" w:ascii="仿宋" w:hAnsi="仿宋" w:eastAsia="仿宋" w:cs="仿宋"/>
          <w:color w:val="FF0000"/>
          <w:sz w:val="28"/>
          <w:szCs w:val="28"/>
          <w:shd w:val="clear" w:color="auto" w:fill="FFFFFF"/>
        </w:rPr>
        <w:t>202</w:t>
      </w:r>
      <w:r>
        <w:rPr>
          <w:rFonts w:hint="eastAsia" w:ascii="仿宋" w:hAnsi="仿宋" w:eastAsia="仿宋" w:cs="仿宋"/>
          <w:color w:val="FF0000"/>
          <w:sz w:val="28"/>
          <w:szCs w:val="28"/>
          <w:shd w:val="clear" w:color="auto" w:fill="FFFFFF"/>
          <w:lang w:val="en-US" w:eastAsia="zh-CN"/>
        </w:rPr>
        <w:t>4</w:t>
      </w:r>
      <w:r>
        <w:rPr>
          <w:rFonts w:hint="eastAsia" w:ascii="仿宋" w:hAnsi="仿宋" w:eastAsia="仿宋" w:cs="仿宋"/>
          <w:color w:val="FF0000"/>
          <w:sz w:val="28"/>
          <w:szCs w:val="28"/>
          <w:shd w:val="clear" w:color="auto" w:fill="FFFFFF"/>
        </w:rPr>
        <w:t>年</w:t>
      </w:r>
      <w:r>
        <w:rPr>
          <w:rFonts w:hint="eastAsia" w:ascii="仿宋" w:hAnsi="仿宋" w:eastAsia="仿宋" w:cs="仿宋"/>
          <w:color w:val="FF0000"/>
          <w:sz w:val="28"/>
          <w:szCs w:val="28"/>
          <w:shd w:val="clear" w:color="auto" w:fill="FFFFFF"/>
          <w:lang w:val="en-US" w:eastAsia="zh-CN"/>
        </w:rPr>
        <w:t>4</w:t>
      </w:r>
      <w:r>
        <w:rPr>
          <w:rFonts w:hint="eastAsia" w:ascii="仿宋" w:hAnsi="仿宋" w:eastAsia="仿宋" w:cs="仿宋"/>
          <w:color w:val="FF0000"/>
          <w:sz w:val="28"/>
          <w:szCs w:val="28"/>
          <w:shd w:val="clear" w:color="auto" w:fill="FFFFFF"/>
        </w:rPr>
        <w:t>月</w:t>
      </w:r>
      <w:r>
        <w:rPr>
          <w:rFonts w:hint="eastAsia" w:ascii="仿宋" w:hAnsi="仿宋" w:eastAsia="仿宋" w:cs="仿宋"/>
          <w:color w:val="FF0000"/>
          <w:sz w:val="28"/>
          <w:szCs w:val="28"/>
          <w:shd w:val="clear" w:color="auto" w:fill="FFFFFF"/>
          <w:lang w:val="en-US" w:eastAsia="zh-CN"/>
        </w:rPr>
        <w:t>3</w:t>
      </w:r>
      <w:r>
        <w:rPr>
          <w:rFonts w:hint="eastAsia" w:ascii="仿宋" w:hAnsi="仿宋" w:eastAsia="仿宋" w:cs="仿宋"/>
          <w:color w:val="FF0000"/>
          <w:sz w:val="28"/>
          <w:szCs w:val="28"/>
          <w:shd w:val="clear" w:color="auto" w:fill="FFFFFF"/>
        </w:rPr>
        <w:t>日9时止</w:t>
      </w:r>
      <w:r>
        <w:rPr>
          <w:rFonts w:hint="eastAsia" w:ascii="仿宋" w:hAnsi="仿宋" w:eastAsia="仿宋" w:cs="仿宋"/>
          <w:color w:val="auto"/>
          <w:sz w:val="28"/>
          <w:szCs w:val="28"/>
          <w:shd w:val="clear" w:color="auto" w:fill="FFFFFF"/>
        </w:rPr>
        <w:t>（逾期或不符合规定的投标文件恕不接受）。</w:t>
      </w:r>
    </w:p>
    <w:p>
      <w:pPr>
        <w:spacing w:before="156" w:beforeLines="50" w:after="156" w:afterLines="50" w:line="360" w:lineRule="auto"/>
        <w:rPr>
          <w:rFonts w:hint="default"/>
          <w:color w:val="auto"/>
          <w:lang w:val="en-US" w:eastAsia="zh-CN"/>
        </w:rPr>
      </w:pPr>
      <w:r>
        <w:rPr>
          <w:rFonts w:hint="eastAsia" w:ascii="仿宋" w:hAnsi="仿宋" w:eastAsia="仿宋" w:cs="仿宋"/>
          <w:color w:val="000000"/>
          <w:sz w:val="28"/>
          <w:szCs w:val="28"/>
          <w:shd w:val="clear" w:color="auto" w:fill="FFFFFF"/>
          <w:lang w:val="en-US" w:eastAsia="zh-CN"/>
        </w:rPr>
        <w:t>4.</w:t>
      </w:r>
      <w:r>
        <w:rPr>
          <w:rFonts w:hint="eastAsia" w:ascii="仿宋" w:hAnsi="仿宋" w:eastAsia="仿宋" w:cs="仿宋"/>
          <w:sz w:val="28"/>
          <w:szCs w:val="28"/>
          <w:lang w:val="en-US" w:eastAsia="zh-CN"/>
        </w:rPr>
        <w:t>投标文件的递交</w:t>
      </w:r>
      <w:r>
        <w:rPr>
          <w:rFonts w:hint="eastAsia" w:ascii="仿宋" w:hAnsi="仿宋" w:eastAsia="仿宋" w:cs="仿宋"/>
          <w:color w:val="000000"/>
          <w:sz w:val="28"/>
          <w:szCs w:val="28"/>
          <w:shd w:val="clear" w:color="auto" w:fill="FFFFFF"/>
          <w:lang w:eastAsia="zh-CN"/>
        </w:rPr>
        <w:t>：</w:t>
      </w:r>
      <w:r>
        <w:rPr>
          <w:rFonts w:hint="eastAsia" w:ascii="仿宋" w:hAnsi="仿宋" w:eastAsia="仿宋" w:cs="仿宋"/>
          <w:sz w:val="28"/>
          <w:szCs w:val="28"/>
          <w:lang w:val="en-US" w:eastAsia="zh-CN"/>
        </w:rPr>
        <w:t>以上相关文件资料需密封并加盖公章，</w:t>
      </w:r>
      <w:r>
        <w:rPr>
          <w:rFonts w:hint="eastAsia" w:ascii="仿宋" w:hAnsi="仿宋" w:eastAsia="仿宋" w:cs="仿宋"/>
          <w:color w:val="000000"/>
          <w:sz w:val="28"/>
          <w:szCs w:val="28"/>
          <w:shd w:val="clear" w:color="auto" w:fill="FFFFFF"/>
        </w:rPr>
        <w:t>采用邮寄方式，邮寄地址：宁波市海曙区解放北路69号，</w:t>
      </w:r>
      <w:r>
        <w:rPr>
          <w:rFonts w:hint="eastAsia" w:ascii="仿宋" w:hAnsi="仿宋" w:eastAsia="仿宋" w:cs="仿宋"/>
          <w:color w:val="auto"/>
          <w:sz w:val="28"/>
          <w:szCs w:val="28"/>
          <w:shd w:val="clear" w:color="auto" w:fill="FFFFFF"/>
        </w:rPr>
        <w:t>联系人</w:t>
      </w:r>
      <w:r>
        <w:rPr>
          <w:rFonts w:hint="eastAsia" w:ascii="仿宋" w:hAnsi="仿宋" w:eastAsia="仿宋" w:cs="仿宋"/>
          <w:color w:val="auto"/>
          <w:sz w:val="28"/>
          <w:szCs w:val="28"/>
          <w:shd w:val="clear" w:color="auto" w:fill="FFFFFF"/>
          <w:lang w:eastAsia="zh-CN"/>
        </w:rPr>
        <w:t>：</w:t>
      </w:r>
      <w:r>
        <w:rPr>
          <w:rFonts w:hint="eastAsia" w:ascii="仿宋" w:hAnsi="仿宋" w:eastAsia="仿宋" w:cs="仿宋"/>
          <w:color w:val="auto"/>
          <w:sz w:val="28"/>
          <w:szCs w:val="28"/>
          <w:shd w:val="clear" w:color="auto" w:fill="FFFFFF"/>
          <w:lang w:val="en-US" w:eastAsia="zh-CN"/>
        </w:rPr>
        <w:t>张凯</w:t>
      </w:r>
      <w:r>
        <w:rPr>
          <w:rFonts w:hint="eastAsia" w:ascii="仿宋" w:hAnsi="仿宋" w:eastAsia="仿宋" w:cs="仿宋"/>
          <w:color w:val="auto"/>
          <w:sz w:val="28"/>
          <w:szCs w:val="28"/>
          <w:shd w:val="clear" w:color="auto" w:fill="FFFFFF"/>
        </w:rPr>
        <w:t>，联系电话：</w:t>
      </w:r>
      <w:r>
        <w:rPr>
          <w:rFonts w:hint="eastAsia" w:ascii="仿宋" w:hAnsi="仿宋" w:eastAsia="仿宋" w:cs="仿宋"/>
          <w:color w:val="auto"/>
          <w:sz w:val="28"/>
          <w:szCs w:val="28"/>
          <w:shd w:val="clear" w:color="auto" w:fill="FFFFFF"/>
          <w:lang w:val="en-US" w:eastAsia="zh-CN"/>
        </w:rPr>
        <w:t>0574-89185413</w:t>
      </w:r>
      <w:r>
        <w:rPr>
          <w:rFonts w:hint="eastAsia" w:ascii="仿宋" w:hAnsi="仿宋" w:eastAsia="仿宋" w:cs="仿宋"/>
          <w:color w:val="auto"/>
          <w:sz w:val="28"/>
          <w:szCs w:val="28"/>
          <w:shd w:val="clear" w:color="auto" w:fill="FFFFFF"/>
        </w:rPr>
        <w:t>。</w:t>
      </w:r>
    </w:p>
    <w:p>
      <w:pPr>
        <w:pStyle w:val="2"/>
        <w:numPr>
          <w:ilvl w:val="0"/>
          <w:numId w:val="2"/>
        </w:numPr>
        <w:bidi w:val="0"/>
        <w:ind w:left="-173" w:leftChars="0" w:hanging="575"/>
        <w:jc w:val="both"/>
        <w:rPr>
          <w:rFonts w:hint="default"/>
          <w:b/>
          <w:lang w:val="en-US" w:eastAsia="zh-CN"/>
        </w:rPr>
      </w:pPr>
      <w:r>
        <w:rPr>
          <w:rFonts w:hint="eastAsia"/>
          <w:b/>
          <w:lang w:val="en-US" w:eastAsia="zh-CN"/>
        </w:rPr>
        <w:t>招标内容及要求</w:t>
      </w:r>
    </w:p>
    <w:p>
      <w:pPr>
        <w:numPr>
          <w:ilvl w:val="0"/>
          <w:numId w:val="4"/>
        </w:numPr>
        <w:spacing w:before="156" w:beforeLines="50" w:after="156" w:afterLines="50" w:line="360" w:lineRule="auto"/>
        <w:ind w:left="425" w:leftChars="0" w:hanging="425" w:firstLineChars="0"/>
        <w:rPr>
          <w:rFonts w:hint="default" w:ascii="仿宋" w:hAnsi="仿宋" w:eastAsia="仿宋" w:cs="仿宋"/>
          <w:color w:val="000000"/>
          <w:kern w:val="0"/>
          <w:sz w:val="28"/>
          <w:szCs w:val="28"/>
          <w:shd w:val="clear" w:color="auto" w:fill="FFFFFF"/>
          <w:lang w:val="en-US" w:eastAsia="zh-CN" w:bidi="ar"/>
        </w:rPr>
      </w:pPr>
      <w:r>
        <w:rPr>
          <w:rFonts w:hint="eastAsia" w:ascii="仿宋" w:hAnsi="仿宋" w:eastAsia="仿宋" w:cs="仿宋"/>
          <w:color w:val="000000"/>
          <w:kern w:val="0"/>
          <w:sz w:val="28"/>
          <w:szCs w:val="28"/>
          <w:shd w:val="clear" w:color="auto" w:fill="FFFFFF"/>
          <w:lang w:val="en-US" w:eastAsia="zh-CN" w:bidi="ar"/>
        </w:rPr>
        <w:t>项目概述</w:t>
      </w:r>
    </w:p>
    <w:p>
      <w:pPr>
        <w:pStyle w:val="15"/>
        <w:rPr>
          <w:rFonts w:hint="default"/>
          <w:lang w:val="en-US" w:eastAsia="zh-CN"/>
        </w:rPr>
      </w:pPr>
      <w:r>
        <w:rPr>
          <w:rFonts w:hint="eastAsia" w:ascii="仿宋" w:hAnsi="仿宋" w:eastAsia="仿宋" w:cs="仿宋"/>
          <w:color w:val="000000"/>
          <w:kern w:val="0"/>
          <w:sz w:val="28"/>
          <w:szCs w:val="28"/>
          <w:shd w:val="clear" w:color="auto" w:fill="FFFFFF"/>
          <w:lang w:val="en-US" w:eastAsia="zh-CN" w:bidi="ar"/>
        </w:rPr>
        <w:t>为更好发挥档案工作在“十四五”新时期对党和国家各项事业的基础性、支撑性作用，进一步深化政府网站网页归档创新应用，结合我馆创建浙江省档案工作数字化转型示范区试点需要，现计划以项目服务外包形式对政府、主流媒体网站网页资源进行采集、转换、签名、归档等。</w:t>
      </w:r>
    </w:p>
    <w:p>
      <w:pPr>
        <w:numPr>
          <w:ilvl w:val="0"/>
          <w:numId w:val="4"/>
        </w:numPr>
        <w:spacing w:before="156" w:beforeLines="50" w:after="156" w:afterLines="50" w:line="360" w:lineRule="auto"/>
        <w:ind w:left="425" w:leftChars="0" w:hanging="425" w:firstLineChars="0"/>
        <w:rPr>
          <w:rFonts w:hint="default" w:ascii="仿宋" w:hAnsi="仿宋" w:eastAsia="仿宋" w:cs="仿宋"/>
          <w:color w:val="000000"/>
          <w:kern w:val="0"/>
          <w:sz w:val="28"/>
          <w:szCs w:val="28"/>
          <w:shd w:val="clear" w:color="auto" w:fill="FFFFFF"/>
          <w:lang w:val="en-US" w:eastAsia="zh-CN" w:bidi="ar"/>
        </w:rPr>
      </w:pPr>
      <w:r>
        <w:rPr>
          <w:rFonts w:hint="eastAsia" w:ascii="仿宋" w:hAnsi="仿宋" w:eastAsia="仿宋" w:cs="仿宋"/>
          <w:color w:val="000000"/>
          <w:kern w:val="0"/>
          <w:sz w:val="28"/>
          <w:szCs w:val="28"/>
          <w:shd w:val="clear" w:color="auto" w:fill="FFFFFF"/>
          <w:lang w:val="en-US" w:eastAsia="zh-CN" w:bidi="ar"/>
        </w:rPr>
        <w:t>项目招标内容</w:t>
      </w:r>
    </w:p>
    <w:p>
      <w:pPr>
        <w:pStyle w:val="15"/>
        <w:rPr>
          <w:rFonts w:hint="default"/>
          <w:lang w:val="en-US" w:eastAsia="zh-CN"/>
        </w:rPr>
      </w:pPr>
      <w:r>
        <w:rPr>
          <w:rFonts w:hint="eastAsia" w:ascii="仿宋" w:hAnsi="仿宋" w:eastAsia="仿宋" w:cs="仿宋"/>
          <w:color w:val="000000"/>
          <w:kern w:val="0"/>
          <w:sz w:val="28"/>
          <w:szCs w:val="28"/>
          <w:shd w:val="clear" w:color="auto" w:fill="FFFFFF"/>
          <w:lang w:val="en-US" w:eastAsia="zh-CN" w:bidi="ar"/>
        </w:rPr>
        <w:t>包括但不限于以下内容：按照宁波市档案馆相关规范，对政府、官方主流媒体网站网页数据进行全量或条件采集；整理采集数据结果并转换为规范格式的网页档案；对网页档案进行无钥签名；对接电子文件归档处理系统进行归档等。</w:t>
      </w:r>
    </w:p>
    <w:p>
      <w:pPr>
        <w:numPr>
          <w:ilvl w:val="0"/>
          <w:numId w:val="4"/>
        </w:numPr>
        <w:spacing w:before="156" w:beforeLines="50" w:after="156" w:afterLines="50" w:line="360" w:lineRule="auto"/>
        <w:ind w:left="425" w:leftChars="0" w:hanging="425" w:firstLineChars="0"/>
        <w:rPr>
          <w:rFonts w:hint="default" w:ascii="仿宋" w:hAnsi="仿宋" w:eastAsia="仿宋" w:cs="仿宋"/>
          <w:color w:val="000000"/>
          <w:kern w:val="0"/>
          <w:sz w:val="28"/>
          <w:szCs w:val="28"/>
          <w:shd w:val="clear" w:color="auto" w:fill="FFFFFF"/>
          <w:lang w:val="en-US" w:eastAsia="zh-CN" w:bidi="ar"/>
        </w:rPr>
      </w:pPr>
      <w:r>
        <w:rPr>
          <w:rFonts w:hint="eastAsia" w:ascii="仿宋" w:hAnsi="仿宋" w:eastAsia="仿宋" w:cs="仿宋"/>
          <w:color w:val="000000"/>
          <w:kern w:val="0"/>
          <w:sz w:val="28"/>
          <w:szCs w:val="28"/>
          <w:shd w:val="clear" w:color="auto" w:fill="FFFFFF"/>
          <w:lang w:val="en-US" w:eastAsia="zh-CN" w:bidi="ar"/>
        </w:rPr>
        <w:t>项目数量、工期</w:t>
      </w:r>
    </w:p>
    <w:p>
      <w:pPr>
        <w:pStyle w:val="15"/>
        <w:numPr>
          <w:ilvl w:val="0"/>
          <w:numId w:val="5"/>
        </w:numPr>
        <w:ind w:firstLine="420" w:firstLineChars="0"/>
        <w:rPr>
          <w:rFonts w:hint="default"/>
          <w:lang w:val="en-US" w:eastAsia="zh-CN"/>
        </w:rPr>
      </w:pPr>
      <w:r>
        <w:rPr>
          <w:rFonts w:hint="eastAsia"/>
          <w:lang w:val="en-US" w:eastAsia="zh-CN"/>
        </w:rPr>
        <w:t>项目数量：1项</w:t>
      </w:r>
    </w:p>
    <w:p>
      <w:pPr>
        <w:pStyle w:val="15"/>
        <w:numPr>
          <w:ilvl w:val="0"/>
          <w:numId w:val="5"/>
        </w:numPr>
        <w:ind w:firstLine="420" w:firstLineChars="0"/>
        <w:rPr>
          <w:rFonts w:hint="default"/>
          <w:lang w:val="en-US" w:eastAsia="zh-CN"/>
        </w:rPr>
      </w:pPr>
      <w:r>
        <w:rPr>
          <w:rFonts w:hint="eastAsia"/>
          <w:lang w:val="en-US" w:eastAsia="zh-CN"/>
        </w:rPr>
        <w:t>项目工</w:t>
      </w:r>
      <w:r>
        <w:rPr>
          <w:rFonts w:hint="eastAsia"/>
          <w:color w:val="auto"/>
          <w:lang w:val="en-US" w:eastAsia="zh-CN"/>
        </w:rPr>
        <w:t>期：15个月</w:t>
      </w:r>
    </w:p>
    <w:p>
      <w:pPr>
        <w:numPr>
          <w:ilvl w:val="0"/>
          <w:numId w:val="4"/>
        </w:numPr>
        <w:spacing w:before="156" w:beforeLines="50" w:after="156" w:afterLines="50" w:line="360" w:lineRule="auto"/>
        <w:ind w:left="425" w:leftChars="0" w:hanging="425" w:firstLineChars="0"/>
        <w:rPr>
          <w:rFonts w:hint="default" w:ascii="仿宋" w:hAnsi="仿宋" w:eastAsia="仿宋" w:cs="仿宋"/>
          <w:color w:val="000000"/>
          <w:kern w:val="0"/>
          <w:sz w:val="28"/>
          <w:szCs w:val="28"/>
          <w:shd w:val="clear" w:color="auto" w:fill="FFFFFF"/>
          <w:lang w:val="en-US" w:eastAsia="zh-CN" w:bidi="ar"/>
        </w:rPr>
      </w:pPr>
      <w:r>
        <w:rPr>
          <w:rFonts w:hint="eastAsia" w:ascii="仿宋" w:hAnsi="仿宋" w:eastAsia="仿宋" w:cs="仿宋"/>
          <w:color w:val="000000"/>
          <w:kern w:val="0"/>
          <w:sz w:val="28"/>
          <w:szCs w:val="28"/>
          <w:shd w:val="clear" w:color="auto" w:fill="FFFFFF"/>
          <w:lang w:val="en-US" w:eastAsia="zh-CN" w:bidi="ar"/>
        </w:rPr>
        <w:t>项目要求</w:t>
      </w:r>
    </w:p>
    <w:p>
      <w:pPr>
        <w:pStyle w:val="15"/>
        <w:numPr>
          <w:ilvl w:val="0"/>
          <w:numId w:val="6"/>
        </w:numPr>
        <w:ind w:left="0" w:leftChars="0" w:firstLine="560" w:firstLineChars="0"/>
        <w:rPr>
          <w:rFonts w:hint="default"/>
          <w:lang w:val="en-US" w:eastAsia="zh-CN"/>
        </w:rPr>
      </w:pPr>
      <w:r>
        <w:rPr>
          <w:rFonts w:hint="eastAsia"/>
          <w:lang w:val="en-US" w:eastAsia="zh-CN"/>
        </w:rPr>
        <w:t>人员配置要求</w:t>
      </w:r>
    </w:p>
    <w:p>
      <w:pPr>
        <w:pStyle w:val="15"/>
        <w:numPr>
          <w:ilvl w:val="3"/>
          <w:numId w:val="6"/>
        </w:numPr>
        <w:ind w:left="0" w:leftChars="0" w:firstLine="973" w:firstLineChars="0"/>
        <w:rPr>
          <w:rFonts w:hint="default"/>
          <w:lang w:val="en-US" w:eastAsia="zh-CN"/>
        </w:rPr>
      </w:pPr>
      <w:r>
        <w:rPr>
          <w:rFonts w:hint="eastAsia"/>
          <w:lang w:val="en-US" w:eastAsia="zh-CN"/>
        </w:rPr>
        <w:t>参与本项目的工作人员应保持相对稳定。</w:t>
      </w:r>
    </w:p>
    <w:p>
      <w:pPr>
        <w:pStyle w:val="15"/>
        <w:numPr>
          <w:ilvl w:val="3"/>
          <w:numId w:val="6"/>
        </w:numPr>
        <w:ind w:left="0" w:leftChars="0" w:firstLine="973" w:firstLineChars="0"/>
        <w:rPr>
          <w:rFonts w:hint="default"/>
          <w:lang w:val="en-US" w:eastAsia="zh-CN"/>
        </w:rPr>
      </w:pPr>
      <w:r>
        <w:rPr>
          <w:rFonts w:hint="eastAsia"/>
          <w:lang w:val="en-US" w:eastAsia="zh-CN"/>
        </w:rPr>
        <w:t>参与开发的人员具备数据采集相关工作技能。</w:t>
      </w:r>
    </w:p>
    <w:p>
      <w:pPr>
        <w:pStyle w:val="15"/>
        <w:numPr>
          <w:ilvl w:val="3"/>
          <w:numId w:val="6"/>
        </w:numPr>
        <w:ind w:left="0" w:leftChars="0" w:firstLine="973" w:firstLineChars="0"/>
        <w:rPr>
          <w:rFonts w:hint="default"/>
          <w:lang w:val="en-US" w:eastAsia="zh-CN"/>
        </w:rPr>
      </w:pPr>
      <w:r>
        <w:rPr>
          <w:rFonts w:hint="eastAsia"/>
          <w:lang w:val="en-US" w:eastAsia="zh-CN"/>
        </w:rPr>
        <w:t>中国国籍公民，身体健康</w:t>
      </w:r>
      <w:r>
        <w:rPr>
          <w:rFonts w:hint="eastAsia" w:ascii="仿宋" w:hAnsi="仿宋" w:eastAsia="仿宋" w:cs="仿宋"/>
          <w:color w:val="000000"/>
          <w:sz w:val="28"/>
          <w:szCs w:val="28"/>
          <w:shd w:val="clear" w:color="auto" w:fill="FFFFFF"/>
        </w:rPr>
        <w:t>拥护中国共产党，遵纪守法，无违法犯罪记录（需提供无犯罪记录证明）。</w:t>
      </w:r>
    </w:p>
    <w:p>
      <w:pPr>
        <w:pStyle w:val="15"/>
        <w:numPr>
          <w:ilvl w:val="3"/>
          <w:numId w:val="6"/>
        </w:numPr>
        <w:ind w:left="0" w:leftChars="0" w:firstLine="973" w:firstLineChars="0"/>
        <w:rPr>
          <w:rFonts w:hint="default"/>
          <w:lang w:val="en-US" w:eastAsia="zh-CN"/>
        </w:rPr>
      </w:pPr>
      <w:r>
        <w:rPr>
          <w:rFonts w:hint="eastAsia" w:ascii="仿宋" w:hAnsi="仿宋" w:eastAsia="仿宋" w:cs="仿宋"/>
          <w:color w:val="000000"/>
          <w:sz w:val="28"/>
          <w:szCs w:val="28"/>
          <w:shd w:val="clear" w:color="auto" w:fill="FFFFFF"/>
        </w:rPr>
        <w:t>工作细致，责任感强，能吃苦耐劳，有良好的沟通能力和团队合作精神</w:t>
      </w:r>
      <w:r>
        <w:rPr>
          <w:rFonts w:hint="eastAsia" w:ascii="仿宋" w:hAnsi="仿宋" w:eastAsia="仿宋" w:cs="仿宋"/>
          <w:color w:val="000000"/>
          <w:sz w:val="28"/>
          <w:szCs w:val="28"/>
          <w:shd w:val="clear" w:color="auto" w:fill="FFFFFF"/>
          <w:lang w:eastAsia="zh-CN"/>
        </w:rPr>
        <w:t>。</w:t>
      </w:r>
    </w:p>
    <w:p>
      <w:pPr>
        <w:pStyle w:val="15"/>
        <w:numPr>
          <w:ilvl w:val="0"/>
          <w:numId w:val="6"/>
        </w:numPr>
        <w:ind w:left="0" w:leftChars="0" w:firstLine="560" w:firstLineChars="0"/>
        <w:rPr>
          <w:rFonts w:hint="default"/>
          <w:lang w:val="en-US" w:eastAsia="zh-CN"/>
        </w:rPr>
      </w:pPr>
      <w:r>
        <w:rPr>
          <w:rFonts w:hint="eastAsia"/>
          <w:lang w:val="en-US" w:eastAsia="zh-CN"/>
        </w:rPr>
        <w:t>项目管理要求</w:t>
      </w:r>
    </w:p>
    <w:p>
      <w:pPr>
        <w:pStyle w:val="15"/>
        <w:numPr>
          <w:ilvl w:val="3"/>
          <w:numId w:val="6"/>
        </w:numPr>
        <w:ind w:left="0" w:leftChars="0" w:firstLine="973" w:firstLineChars="0"/>
        <w:rPr>
          <w:rFonts w:hint="default"/>
          <w:lang w:val="en-US" w:eastAsia="zh-CN"/>
        </w:rPr>
      </w:pPr>
      <w:r>
        <w:rPr>
          <w:rFonts w:hint="eastAsia"/>
          <w:lang w:val="en-US" w:eastAsia="zh-CN"/>
        </w:rPr>
        <w:t>中标方应在合同签订后15天内</w:t>
      </w:r>
      <w:r>
        <w:rPr>
          <w:rFonts w:hint="eastAsia" w:ascii="仿宋" w:hAnsi="仿宋" w:eastAsia="仿宋" w:cs="仿宋"/>
          <w:color w:val="000000"/>
          <w:sz w:val="28"/>
          <w:szCs w:val="28"/>
          <w:shd w:val="clear" w:color="auto" w:fill="FFFFFF"/>
        </w:rPr>
        <w:t>配齐符合需求</w:t>
      </w:r>
      <w:r>
        <w:rPr>
          <w:rFonts w:hint="eastAsia" w:ascii="仿宋" w:hAnsi="仿宋" w:eastAsia="仿宋" w:cs="仿宋"/>
          <w:color w:val="000000"/>
          <w:sz w:val="28"/>
          <w:szCs w:val="28"/>
          <w:shd w:val="clear" w:color="auto" w:fill="FFFFFF"/>
          <w:lang w:eastAsia="zh-CN"/>
        </w:rPr>
        <w:t>的</w:t>
      </w:r>
      <w:r>
        <w:rPr>
          <w:rFonts w:hint="eastAsia" w:ascii="仿宋" w:hAnsi="仿宋" w:eastAsia="仿宋" w:cs="仿宋"/>
          <w:color w:val="000000"/>
          <w:sz w:val="28"/>
          <w:szCs w:val="28"/>
          <w:shd w:val="clear" w:color="auto" w:fill="FFFFFF"/>
          <w:lang w:val="en-US" w:eastAsia="zh-CN"/>
        </w:rPr>
        <w:t>工作人员，</w:t>
      </w:r>
      <w:r>
        <w:rPr>
          <w:rFonts w:hint="eastAsia" w:ascii="仿宋" w:hAnsi="仿宋" w:eastAsia="仿宋" w:cs="仿宋"/>
          <w:color w:val="000000"/>
          <w:sz w:val="28"/>
          <w:szCs w:val="28"/>
          <w:shd w:val="clear" w:color="auto" w:fill="FFFFFF"/>
        </w:rPr>
        <w:t>否则视为中标方违约，采购方有权终止服务。</w:t>
      </w:r>
    </w:p>
    <w:p>
      <w:pPr>
        <w:pStyle w:val="15"/>
        <w:numPr>
          <w:ilvl w:val="3"/>
          <w:numId w:val="6"/>
        </w:numPr>
        <w:ind w:left="0" w:leftChars="0" w:firstLine="973" w:firstLineChars="0"/>
        <w:rPr>
          <w:rFonts w:hint="default"/>
          <w:lang w:val="en-US" w:eastAsia="zh-CN"/>
        </w:rPr>
      </w:pPr>
      <w:r>
        <w:rPr>
          <w:rFonts w:hint="eastAsia"/>
          <w:lang w:val="en-US" w:eastAsia="zh-CN"/>
        </w:rPr>
        <w:t>中标方</w:t>
      </w:r>
      <w:r>
        <w:rPr>
          <w:rFonts w:hint="eastAsia" w:ascii="仿宋" w:hAnsi="仿宋" w:eastAsia="仿宋" w:cs="仿宋"/>
          <w:color w:val="000000"/>
          <w:sz w:val="28"/>
          <w:szCs w:val="28"/>
          <w:shd w:val="clear" w:color="auto" w:fill="FFFFFF"/>
        </w:rPr>
        <w:t>的用工需符合国家的相关规定，严格遵守《劳动合同法》，与派驻人员及时签订劳动合同，并按照国家相关法律规定为派驻人员提供合理的薪酬福利待遇。</w:t>
      </w:r>
    </w:p>
    <w:p>
      <w:pPr>
        <w:pStyle w:val="15"/>
        <w:numPr>
          <w:ilvl w:val="3"/>
          <w:numId w:val="6"/>
        </w:numPr>
        <w:ind w:left="0" w:leftChars="0" w:firstLine="973" w:firstLineChars="0"/>
        <w:rPr>
          <w:rFonts w:hint="default"/>
          <w:lang w:val="en-US" w:eastAsia="zh-CN"/>
        </w:rPr>
      </w:pPr>
      <w:r>
        <w:rPr>
          <w:rFonts w:hint="eastAsia"/>
          <w:lang w:val="en-US" w:eastAsia="zh-CN"/>
        </w:rPr>
        <w:t>中</w:t>
      </w:r>
      <w:r>
        <w:rPr>
          <w:rFonts w:hint="eastAsia" w:ascii="仿宋" w:hAnsi="仿宋" w:eastAsia="仿宋" w:cs="方正仿宋_GBK"/>
          <w:kern w:val="2"/>
          <w:sz w:val="28"/>
          <w:szCs w:val="28"/>
        </w:rPr>
        <w:t>标方须制订工作方案，确定工作流程，保证服务进度，确保服务质量，按期完成本项目工作。</w:t>
      </w:r>
    </w:p>
    <w:p>
      <w:pPr>
        <w:pStyle w:val="15"/>
        <w:numPr>
          <w:ilvl w:val="3"/>
          <w:numId w:val="6"/>
        </w:numPr>
        <w:ind w:left="0" w:leftChars="0" w:firstLine="973" w:firstLineChars="0"/>
        <w:rPr>
          <w:rFonts w:hint="default"/>
          <w:lang w:val="en-US" w:eastAsia="zh-CN"/>
        </w:rPr>
      </w:pPr>
      <w:r>
        <w:rPr>
          <w:rFonts w:hint="eastAsia" w:ascii="仿宋" w:hAnsi="仿宋" w:eastAsia="仿宋" w:cs="方正仿宋_GBK"/>
          <w:kern w:val="2"/>
          <w:sz w:val="28"/>
          <w:szCs w:val="28"/>
          <w:lang w:val="en-US" w:eastAsia="zh-CN"/>
        </w:rPr>
        <w:t>参与本项目的工作人员</w:t>
      </w:r>
      <w:r>
        <w:rPr>
          <w:rFonts w:hint="eastAsia" w:ascii="仿宋" w:hAnsi="仿宋" w:eastAsia="仿宋" w:cs="方正仿宋_GBK"/>
          <w:kern w:val="2"/>
          <w:sz w:val="28"/>
          <w:szCs w:val="28"/>
        </w:rPr>
        <w:t>需要经过采购方认可。服务期内，中标方应保持人员相对稳定。服务期内，如人员有变动，中标方应提前30天通知采购方，并按照原条件及时补充人选，补充人选须经过采购方认可后方可更换。</w:t>
      </w:r>
    </w:p>
    <w:p>
      <w:pPr>
        <w:pStyle w:val="15"/>
        <w:numPr>
          <w:ilvl w:val="3"/>
          <w:numId w:val="6"/>
        </w:numPr>
        <w:ind w:left="0" w:leftChars="0" w:firstLine="973" w:firstLineChars="0"/>
        <w:rPr>
          <w:rFonts w:hint="default"/>
          <w:lang w:val="en-US" w:eastAsia="zh-CN"/>
        </w:rPr>
      </w:pPr>
      <w:r>
        <w:rPr>
          <w:rFonts w:hint="eastAsia" w:ascii="仿宋" w:hAnsi="仿宋" w:eastAsia="仿宋" w:cs="方正仿宋_GBK"/>
          <w:kern w:val="2"/>
          <w:sz w:val="28"/>
          <w:szCs w:val="28"/>
          <w:lang w:val="en-US" w:eastAsia="zh-CN"/>
        </w:rPr>
        <w:t>中标方人员在实施服务过程中，须接受采购方的监督检查，如发现问题，采购方有权</w:t>
      </w:r>
      <w:r>
        <w:rPr>
          <w:rFonts w:hint="eastAsia" w:ascii="仿宋" w:hAnsi="仿宋" w:eastAsia="仿宋" w:cs="方正仿宋_GBK"/>
          <w:kern w:val="2"/>
          <w:sz w:val="28"/>
          <w:szCs w:val="28"/>
        </w:rPr>
        <w:t>向中标方提出整改意见；中标方在收到整改意见后应及时将整改情况及配套管理制度等书面反馈采购方。</w:t>
      </w:r>
    </w:p>
    <w:p>
      <w:pPr>
        <w:pStyle w:val="15"/>
        <w:numPr>
          <w:ilvl w:val="3"/>
          <w:numId w:val="6"/>
        </w:numPr>
        <w:ind w:left="0" w:leftChars="0" w:firstLine="973" w:firstLineChars="0"/>
        <w:rPr>
          <w:rFonts w:hint="default"/>
          <w:lang w:val="en-US" w:eastAsia="zh-CN"/>
        </w:rPr>
      </w:pPr>
      <w:r>
        <w:rPr>
          <w:rFonts w:hint="eastAsia" w:ascii="仿宋" w:hAnsi="仿宋" w:eastAsia="仿宋" w:cs="方正仿宋_GBK"/>
          <w:kern w:val="2"/>
          <w:sz w:val="28"/>
          <w:szCs w:val="28"/>
          <w:lang w:val="en-US" w:eastAsia="zh-CN"/>
        </w:rPr>
        <w:t>参与本项目的人员</w:t>
      </w:r>
      <w:r>
        <w:rPr>
          <w:rFonts w:hint="eastAsia" w:ascii="仿宋" w:hAnsi="仿宋" w:eastAsia="仿宋" w:cs="方正仿宋_GBK"/>
          <w:kern w:val="2"/>
          <w:sz w:val="28"/>
          <w:szCs w:val="28"/>
        </w:rPr>
        <w:t>不得利用工作之便，进行任何非法或本项目范围外的活动。如经发现，采购方有权终止派驻人员的服务，中标方需及时更换服务人员，构成犯罪的，依法追究刑事责任。</w:t>
      </w:r>
    </w:p>
    <w:p>
      <w:pPr>
        <w:pStyle w:val="15"/>
        <w:numPr>
          <w:ilvl w:val="0"/>
          <w:numId w:val="6"/>
        </w:numPr>
        <w:ind w:left="0" w:leftChars="0" w:firstLine="560" w:firstLineChars="0"/>
        <w:rPr>
          <w:rFonts w:hint="default"/>
          <w:lang w:val="en-US" w:eastAsia="zh-CN"/>
        </w:rPr>
      </w:pPr>
      <w:r>
        <w:rPr>
          <w:rFonts w:hint="eastAsia" w:ascii="仿宋" w:hAnsi="仿宋" w:eastAsia="仿宋" w:cs="方正仿宋_GBK"/>
          <w:kern w:val="2"/>
          <w:sz w:val="28"/>
          <w:szCs w:val="28"/>
          <w:lang w:val="en-US" w:eastAsia="zh-CN"/>
        </w:rPr>
        <w:t>项目服务要求</w:t>
      </w:r>
    </w:p>
    <w:p>
      <w:pPr>
        <w:pStyle w:val="15"/>
        <w:numPr>
          <w:ilvl w:val="0"/>
          <w:numId w:val="7"/>
        </w:numPr>
        <w:ind w:left="560" w:leftChars="0"/>
        <w:rPr>
          <w:rFonts w:hint="default"/>
          <w:lang w:val="en-US" w:eastAsia="zh-CN"/>
        </w:rPr>
      </w:pPr>
      <w:r>
        <w:rPr>
          <w:rFonts w:hint="eastAsia"/>
          <w:lang w:val="en-US" w:eastAsia="zh-CN"/>
        </w:rPr>
        <w:t>数据采集</w:t>
      </w:r>
    </w:p>
    <w:p>
      <w:pPr>
        <w:pStyle w:val="15"/>
        <w:numPr>
          <w:ilvl w:val="0"/>
          <w:numId w:val="0"/>
        </w:numPr>
        <w:ind w:left="840" w:leftChars="400" w:firstLine="638" w:firstLineChars="228"/>
        <w:rPr>
          <w:rFonts w:hint="default"/>
          <w:lang w:val="en-US" w:eastAsia="zh-CN"/>
        </w:rPr>
      </w:pPr>
      <w:r>
        <w:rPr>
          <w:rFonts w:hint="eastAsia"/>
          <w:lang w:val="en-US" w:eastAsia="zh-CN"/>
        </w:rPr>
        <w:t>能针对国家、浙江省和宁波市主流媒体或政府网站网页进行全量采集或专题采集。主流媒体包括中央、各省市区党委机关报和中央、各省市区广播电台、电视台的新闻综合频道为代表的中央级新闻媒体和区域性媒体等。采集内容包括但不限于：人民网、央视网、浙江在线等，同时可以匹配主流媒体中包含宁波地区地名关键字，根据系统设定的单个或多个关键字对网站网页进行条件采集。</w:t>
      </w:r>
      <w:r>
        <w:rPr>
          <w:rFonts w:hint="eastAsia"/>
          <w:color w:val="auto"/>
          <w:lang w:val="en-US" w:eastAsia="zh-CN"/>
        </w:rPr>
        <w:t>（采集网页数量至少达到十万件）</w:t>
      </w:r>
    </w:p>
    <w:p>
      <w:pPr>
        <w:pStyle w:val="15"/>
        <w:numPr>
          <w:ilvl w:val="0"/>
          <w:numId w:val="7"/>
        </w:numPr>
        <w:ind w:left="560" w:leftChars="0"/>
        <w:rPr>
          <w:rFonts w:hint="default"/>
          <w:lang w:val="en-US" w:eastAsia="zh-CN"/>
        </w:rPr>
      </w:pPr>
      <w:r>
        <w:rPr>
          <w:rFonts w:hint="eastAsia"/>
          <w:lang w:val="en-US" w:eastAsia="zh-CN"/>
        </w:rPr>
        <w:t>数据转换</w:t>
      </w:r>
      <w:bookmarkStart w:id="0" w:name="_GoBack"/>
      <w:bookmarkEnd w:id="0"/>
    </w:p>
    <w:p>
      <w:pPr>
        <w:pStyle w:val="15"/>
        <w:numPr>
          <w:ilvl w:val="0"/>
          <w:numId w:val="0"/>
        </w:numPr>
        <w:ind w:left="840" w:leftChars="400" w:firstLine="638" w:firstLineChars="228"/>
        <w:rPr>
          <w:rFonts w:hint="default"/>
          <w:lang w:val="en-US" w:eastAsia="zh-CN"/>
        </w:rPr>
      </w:pPr>
      <w:r>
        <w:rPr>
          <w:rFonts w:hint="eastAsia"/>
          <w:lang w:val="en-US" w:eastAsia="zh-CN"/>
        </w:rPr>
        <w:t>将采集到的网站网页数据能转换为以符合GB/T 33994规定的WARC格式的网页档案，或符合GB/T 33190规定的OFD格式的网页档案，并以网页文件唯一标识符为基础生成档号。</w:t>
      </w:r>
    </w:p>
    <w:p>
      <w:pPr>
        <w:pStyle w:val="15"/>
        <w:numPr>
          <w:ilvl w:val="0"/>
          <w:numId w:val="7"/>
        </w:numPr>
        <w:ind w:left="560" w:leftChars="0"/>
        <w:rPr>
          <w:rFonts w:hint="default"/>
          <w:lang w:val="en-US" w:eastAsia="zh-CN"/>
        </w:rPr>
      </w:pPr>
      <w:r>
        <w:rPr>
          <w:rFonts w:hint="eastAsia"/>
          <w:lang w:val="en-US" w:eastAsia="zh-CN"/>
        </w:rPr>
        <w:t>数据签名</w:t>
      </w:r>
    </w:p>
    <w:p>
      <w:pPr>
        <w:pStyle w:val="15"/>
        <w:numPr>
          <w:ilvl w:val="0"/>
          <w:numId w:val="0"/>
        </w:numPr>
        <w:ind w:left="840" w:leftChars="400" w:firstLine="638" w:firstLineChars="228"/>
        <w:rPr>
          <w:rFonts w:hint="default"/>
          <w:lang w:val="en-US" w:eastAsia="zh-CN"/>
        </w:rPr>
      </w:pPr>
      <w:r>
        <w:rPr>
          <w:rFonts w:hint="eastAsia"/>
          <w:lang w:val="en-US" w:eastAsia="zh-CN"/>
        </w:rPr>
        <w:t>网站网页数据转换后，应对采集结果文件根据宁波市档案馆提供的无钥签名接口进行签名，保障网页档案的真实性。</w:t>
      </w:r>
    </w:p>
    <w:p>
      <w:pPr>
        <w:pStyle w:val="15"/>
        <w:numPr>
          <w:ilvl w:val="0"/>
          <w:numId w:val="7"/>
        </w:numPr>
        <w:ind w:left="560" w:leftChars="0"/>
        <w:rPr>
          <w:rFonts w:hint="default"/>
          <w:lang w:val="en-US" w:eastAsia="zh-CN"/>
        </w:rPr>
      </w:pPr>
      <w:r>
        <w:rPr>
          <w:rFonts w:hint="eastAsia"/>
          <w:lang w:val="en-US" w:eastAsia="zh-CN"/>
        </w:rPr>
        <w:t>网页归档</w:t>
      </w:r>
    </w:p>
    <w:p>
      <w:pPr>
        <w:pStyle w:val="15"/>
        <w:numPr>
          <w:ilvl w:val="0"/>
          <w:numId w:val="0"/>
        </w:numPr>
        <w:ind w:left="840" w:leftChars="400" w:firstLine="638" w:firstLineChars="228"/>
        <w:rPr>
          <w:rFonts w:hint="default"/>
          <w:lang w:val="en-US" w:eastAsia="zh-CN"/>
        </w:rPr>
      </w:pPr>
      <w:r>
        <w:rPr>
          <w:rFonts w:hint="eastAsia"/>
          <w:lang w:val="en-US" w:eastAsia="zh-CN"/>
        </w:rPr>
        <w:t>网页文件在采集完成后，应及时归档。对接宁波市档案馆电子文件归档处理系统，提供网页文件和目录清单，封装成包并推送移交，同时能够对文件移交的认证结果进行监听回调，校验文件是否推送成功。</w:t>
      </w:r>
    </w:p>
    <w:p>
      <w:pPr>
        <w:pStyle w:val="15"/>
        <w:numPr>
          <w:ilvl w:val="0"/>
          <w:numId w:val="0"/>
        </w:numPr>
        <w:ind w:left="840" w:leftChars="400" w:firstLine="638" w:firstLineChars="228"/>
        <w:rPr>
          <w:rFonts w:hint="default"/>
          <w:lang w:val="en-US" w:eastAsia="zh-CN"/>
        </w:rPr>
      </w:pPr>
      <w:r>
        <w:rPr>
          <w:rFonts w:hint="eastAsia"/>
          <w:lang w:val="en-US" w:eastAsia="zh-CN"/>
        </w:rPr>
        <w:t>归档时应将网页文件的元数据同时归档。对于有附件的网页，归档时应将附件与网页同时归档。当网页文件因篇幅较长而分为多个页面显示时，应将该项内容所对应的多个页面同时归档。</w:t>
      </w:r>
    </w:p>
    <w:p>
      <w:pPr>
        <w:pStyle w:val="15"/>
        <w:numPr>
          <w:ilvl w:val="0"/>
          <w:numId w:val="7"/>
        </w:numPr>
        <w:ind w:left="560" w:leftChars="0"/>
        <w:rPr>
          <w:rFonts w:hint="default"/>
          <w:lang w:val="en-US" w:eastAsia="zh-CN"/>
        </w:rPr>
      </w:pPr>
      <w:r>
        <w:rPr>
          <w:rFonts w:hint="eastAsia"/>
          <w:lang w:val="en-US" w:eastAsia="zh-CN"/>
        </w:rPr>
        <w:t>异常报警</w:t>
      </w:r>
    </w:p>
    <w:p>
      <w:pPr>
        <w:pStyle w:val="15"/>
        <w:numPr>
          <w:ilvl w:val="0"/>
          <w:numId w:val="0"/>
        </w:numPr>
        <w:ind w:left="840" w:leftChars="400" w:firstLine="638" w:firstLineChars="228"/>
        <w:rPr>
          <w:rFonts w:hint="eastAsia"/>
          <w:lang w:val="en-US" w:eastAsia="zh-CN"/>
        </w:rPr>
      </w:pPr>
      <w:r>
        <w:rPr>
          <w:rFonts w:hint="eastAsia"/>
          <w:lang w:val="en-US" w:eastAsia="zh-CN"/>
        </w:rPr>
        <w:t>采集因网站域名变化、账号登出、网站服务不可用等不可控因素导致无法正常采集时，能够通过邮件、短信等方式通知系统管理员进行处理。</w:t>
      </w:r>
    </w:p>
    <w:p>
      <w:pPr>
        <w:pStyle w:val="15"/>
        <w:numPr>
          <w:ilvl w:val="0"/>
          <w:numId w:val="7"/>
        </w:numPr>
        <w:ind w:left="560" w:leftChars="0" w:firstLine="560" w:firstLineChars="200"/>
        <w:rPr>
          <w:rFonts w:hint="default"/>
          <w:lang w:val="en-US" w:eastAsia="zh-CN"/>
        </w:rPr>
      </w:pPr>
      <w:r>
        <w:rPr>
          <w:rFonts w:hint="eastAsia"/>
          <w:lang w:val="en-US" w:eastAsia="zh-CN"/>
        </w:rPr>
        <w:t>统计分析</w:t>
      </w:r>
    </w:p>
    <w:p>
      <w:pPr>
        <w:pStyle w:val="15"/>
        <w:numPr>
          <w:ilvl w:val="0"/>
          <w:numId w:val="0"/>
        </w:numPr>
        <w:ind w:left="1260" w:leftChars="0" w:firstLine="420" w:firstLineChars="0"/>
        <w:rPr>
          <w:rFonts w:hint="default"/>
          <w:lang w:val="en-US" w:eastAsia="zh-CN"/>
        </w:rPr>
      </w:pPr>
      <w:r>
        <w:rPr>
          <w:rFonts w:hint="eastAsia"/>
          <w:lang w:val="en-US" w:eastAsia="zh-CN"/>
        </w:rPr>
        <w:t>可以对系统采集任务及结果进行统计，统计结果精确，并能进行分项统计、条件筛选等。</w:t>
      </w:r>
    </w:p>
    <w:p>
      <w:pPr>
        <w:numPr>
          <w:ilvl w:val="0"/>
          <w:numId w:val="4"/>
        </w:numPr>
        <w:spacing w:before="156" w:beforeLines="50" w:after="156" w:afterLines="50" w:line="360" w:lineRule="auto"/>
        <w:ind w:left="425" w:leftChars="0" w:hanging="425" w:firstLineChars="0"/>
        <w:rPr>
          <w:rFonts w:hint="default" w:ascii="仿宋" w:hAnsi="仿宋" w:eastAsia="仿宋" w:cs="仿宋"/>
          <w:color w:val="000000"/>
          <w:kern w:val="0"/>
          <w:sz w:val="28"/>
          <w:szCs w:val="28"/>
          <w:shd w:val="clear" w:color="auto" w:fill="FFFFFF"/>
          <w:lang w:val="en-US" w:eastAsia="zh-CN" w:bidi="ar"/>
        </w:rPr>
      </w:pPr>
      <w:r>
        <w:rPr>
          <w:rFonts w:hint="eastAsia" w:ascii="仿宋" w:hAnsi="仿宋" w:eastAsia="仿宋" w:cs="仿宋"/>
          <w:color w:val="000000"/>
          <w:kern w:val="0"/>
          <w:sz w:val="28"/>
          <w:szCs w:val="28"/>
          <w:shd w:val="clear" w:color="auto" w:fill="FFFFFF"/>
          <w:lang w:val="en-US" w:eastAsia="zh-CN" w:bidi="ar"/>
        </w:rPr>
        <w:t>相关文件、规范、标准</w:t>
      </w:r>
    </w:p>
    <w:p>
      <w:pPr>
        <w:pStyle w:val="15"/>
        <w:rPr>
          <w:rFonts w:hint="eastAsia" w:ascii="仿宋" w:hAnsi="仿宋" w:eastAsia="仿宋" w:cs="仿宋"/>
          <w:color w:val="000000"/>
          <w:kern w:val="0"/>
          <w:sz w:val="28"/>
          <w:szCs w:val="28"/>
          <w:shd w:val="clear" w:color="auto" w:fill="FFFFFF"/>
          <w:lang w:val="en-US" w:eastAsia="zh-CN" w:bidi="ar"/>
        </w:rPr>
      </w:pPr>
      <w:r>
        <w:rPr>
          <w:rFonts w:hint="eastAsia" w:ascii="仿宋" w:hAnsi="仿宋" w:eastAsia="仿宋" w:cs="仿宋"/>
          <w:color w:val="000000"/>
          <w:kern w:val="0"/>
          <w:sz w:val="28"/>
          <w:szCs w:val="28"/>
          <w:shd w:val="clear" w:color="auto" w:fill="FFFFFF"/>
          <w:lang w:val="en-US" w:eastAsia="zh-CN" w:bidi="ar"/>
        </w:rPr>
        <w:t>在网站网页采集、转换、签名、归档过程中涉及以下规范和标准。</w:t>
      </w:r>
    </w:p>
    <w:p>
      <w:pPr>
        <w:pStyle w:val="15"/>
        <w:rPr>
          <w:rFonts w:hint="eastAsia" w:ascii="仿宋" w:hAnsi="仿宋" w:eastAsia="仿宋" w:cs="仿宋"/>
          <w:color w:val="000000"/>
          <w:kern w:val="0"/>
          <w:sz w:val="28"/>
          <w:szCs w:val="28"/>
          <w:shd w:val="clear" w:color="auto" w:fill="FFFFFF"/>
          <w:lang w:bidi="ar"/>
        </w:rPr>
      </w:pPr>
      <w:r>
        <w:rPr>
          <w:rFonts w:hint="eastAsia" w:ascii="仿宋" w:hAnsi="仿宋" w:eastAsia="仿宋" w:cs="仿宋"/>
          <w:color w:val="000000"/>
          <w:kern w:val="0"/>
          <w:sz w:val="28"/>
          <w:szCs w:val="28"/>
          <w:shd w:val="clear" w:color="auto" w:fill="FFFFFF"/>
          <w:lang w:bidi="ar"/>
        </w:rPr>
        <w:t>档案管理主要法规：</w:t>
      </w:r>
    </w:p>
    <w:p>
      <w:pPr>
        <w:spacing w:line="560" w:lineRule="exact"/>
        <w:ind w:firstLine="560" w:firstLineChars="200"/>
        <w:rPr>
          <w:rFonts w:hint="eastAsia" w:ascii="仿宋" w:hAnsi="仿宋" w:eastAsia="仿宋" w:cs="仿宋"/>
          <w:color w:val="000000"/>
          <w:kern w:val="0"/>
          <w:sz w:val="28"/>
          <w:szCs w:val="28"/>
          <w:shd w:val="clear" w:color="auto" w:fill="FFFFFF"/>
          <w:lang w:bidi="ar"/>
        </w:rPr>
      </w:pPr>
      <w:r>
        <w:rPr>
          <w:rFonts w:hint="eastAsia" w:ascii="仿宋" w:hAnsi="仿宋" w:eastAsia="仿宋" w:cs="仿宋"/>
          <w:color w:val="000000"/>
          <w:kern w:val="0"/>
          <w:sz w:val="28"/>
          <w:szCs w:val="28"/>
          <w:shd w:val="clear" w:color="auto" w:fill="FFFFFF"/>
          <w:lang w:bidi="ar"/>
        </w:rPr>
        <w:t>《中华人民共和国档案法》</w:t>
      </w:r>
    </w:p>
    <w:p>
      <w:pPr>
        <w:spacing w:line="560" w:lineRule="exact"/>
        <w:ind w:firstLine="560" w:firstLineChars="200"/>
        <w:rPr>
          <w:rFonts w:hint="eastAsia" w:ascii="仿宋" w:hAnsi="仿宋" w:eastAsia="仿宋" w:cs="仿宋"/>
          <w:color w:val="000000"/>
          <w:kern w:val="0"/>
          <w:sz w:val="28"/>
          <w:szCs w:val="28"/>
          <w:shd w:val="clear" w:color="auto" w:fill="FFFFFF"/>
          <w:lang w:bidi="ar"/>
        </w:rPr>
      </w:pPr>
      <w:r>
        <w:rPr>
          <w:rFonts w:hint="eastAsia" w:ascii="仿宋" w:hAnsi="仿宋" w:eastAsia="仿宋" w:cs="仿宋"/>
          <w:color w:val="000000"/>
          <w:kern w:val="0"/>
          <w:sz w:val="28"/>
          <w:szCs w:val="28"/>
          <w:shd w:val="clear" w:color="auto" w:fill="FFFFFF"/>
          <w:lang w:bidi="ar"/>
        </w:rPr>
        <w:t>《中华人民共和国档案法实施办法》</w:t>
      </w:r>
    </w:p>
    <w:p>
      <w:pPr>
        <w:spacing w:line="560" w:lineRule="exact"/>
        <w:ind w:firstLine="560" w:firstLineChars="200"/>
        <w:rPr>
          <w:rFonts w:hint="eastAsia" w:ascii="仿宋" w:hAnsi="仿宋" w:eastAsia="仿宋" w:cs="仿宋"/>
          <w:color w:val="000000"/>
          <w:kern w:val="0"/>
          <w:sz w:val="28"/>
          <w:szCs w:val="28"/>
          <w:shd w:val="clear" w:color="auto" w:fill="FFFFFF"/>
          <w:lang w:bidi="ar"/>
        </w:rPr>
      </w:pPr>
      <w:r>
        <w:rPr>
          <w:rFonts w:hint="eastAsia" w:ascii="仿宋" w:hAnsi="仿宋" w:eastAsia="仿宋" w:cs="仿宋"/>
          <w:color w:val="000000"/>
          <w:kern w:val="0"/>
          <w:sz w:val="28"/>
          <w:szCs w:val="28"/>
          <w:shd w:val="clear" w:color="auto" w:fill="FFFFFF"/>
          <w:lang w:bidi="ar"/>
        </w:rPr>
        <w:t>业务标准与规范：</w:t>
      </w:r>
    </w:p>
    <w:p>
      <w:pPr>
        <w:spacing w:line="560" w:lineRule="exact"/>
        <w:ind w:firstLine="560" w:firstLineChars="200"/>
        <w:rPr>
          <w:rFonts w:hint="eastAsia" w:ascii="仿宋" w:hAnsi="仿宋" w:eastAsia="仿宋" w:cs="仿宋"/>
          <w:color w:val="000000"/>
          <w:kern w:val="0"/>
          <w:sz w:val="28"/>
          <w:szCs w:val="28"/>
          <w:shd w:val="clear" w:color="auto" w:fill="FFFFFF"/>
          <w:lang w:bidi="ar"/>
        </w:rPr>
      </w:pPr>
      <w:r>
        <w:rPr>
          <w:rFonts w:hint="eastAsia" w:ascii="仿宋" w:hAnsi="仿宋" w:eastAsia="仿宋" w:cs="仿宋"/>
          <w:color w:val="000000"/>
          <w:kern w:val="0"/>
          <w:sz w:val="28"/>
          <w:szCs w:val="28"/>
          <w:shd w:val="clear" w:color="auto" w:fill="FFFFFF"/>
          <w:lang w:bidi="ar"/>
        </w:rPr>
        <w:t>《政府网站网页归档指南》（DA/T 80-2019）</w:t>
      </w:r>
    </w:p>
    <w:p>
      <w:pPr>
        <w:spacing w:line="560" w:lineRule="exact"/>
        <w:ind w:firstLine="560" w:firstLineChars="200"/>
        <w:rPr>
          <w:rFonts w:hint="eastAsia" w:ascii="仿宋" w:hAnsi="仿宋" w:eastAsia="仿宋" w:cs="仿宋"/>
          <w:color w:val="000000"/>
          <w:kern w:val="0"/>
          <w:sz w:val="28"/>
          <w:szCs w:val="28"/>
          <w:shd w:val="clear" w:color="auto" w:fill="FFFFFF"/>
          <w:lang w:bidi="ar"/>
        </w:rPr>
      </w:pPr>
      <w:r>
        <w:rPr>
          <w:rFonts w:hint="eastAsia" w:ascii="仿宋" w:hAnsi="仿宋" w:eastAsia="仿宋" w:cs="仿宋"/>
          <w:color w:val="000000"/>
          <w:kern w:val="0"/>
          <w:sz w:val="28"/>
          <w:szCs w:val="28"/>
          <w:shd w:val="clear" w:color="auto" w:fill="FFFFFF"/>
          <w:lang w:bidi="ar"/>
        </w:rPr>
        <w:t>《电子文件归档与电子档案管理规范》（GB/T 18894--2016）</w:t>
      </w:r>
    </w:p>
    <w:p>
      <w:pPr>
        <w:spacing w:line="560" w:lineRule="exact"/>
        <w:ind w:firstLine="560" w:firstLineChars="200"/>
        <w:rPr>
          <w:rFonts w:hint="eastAsia" w:ascii="仿宋" w:hAnsi="仿宋" w:eastAsia="仿宋" w:cs="仿宋"/>
          <w:color w:val="000000"/>
          <w:kern w:val="0"/>
          <w:sz w:val="28"/>
          <w:szCs w:val="28"/>
          <w:shd w:val="clear" w:color="auto" w:fill="FFFFFF"/>
          <w:lang w:bidi="ar"/>
        </w:rPr>
      </w:pPr>
      <w:r>
        <w:rPr>
          <w:rFonts w:hint="eastAsia" w:ascii="仿宋" w:hAnsi="仿宋" w:eastAsia="仿宋" w:cs="仿宋"/>
          <w:color w:val="000000"/>
          <w:kern w:val="0"/>
          <w:sz w:val="28"/>
          <w:szCs w:val="28"/>
          <w:shd w:val="clear" w:color="auto" w:fill="FFFFFF"/>
          <w:lang w:bidi="ar"/>
        </w:rPr>
        <w:t>《信息和文献 WARC文件格式》（GB/T 33994-2017）</w:t>
      </w:r>
    </w:p>
    <w:p>
      <w:pPr>
        <w:spacing w:line="560" w:lineRule="exact"/>
        <w:ind w:firstLine="560" w:firstLineChars="200"/>
        <w:rPr>
          <w:rFonts w:hint="eastAsia" w:ascii="仿宋" w:hAnsi="仿宋" w:eastAsia="仿宋" w:cs="仿宋"/>
          <w:color w:val="000000"/>
          <w:kern w:val="0"/>
          <w:sz w:val="28"/>
          <w:szCs w:val="28"/>
          <w:shd w:val="clear" w:color="auto" w:fill="FFFFFF"/>
          <w:lang w:bidi="ar"/>
        </w:rPr>
      </w:pPr>
      <w:r>
        <w:rPr>
          <w:rFonts w:hint="eastAsia" w:ascii="仿宋" w:hAnsi="仿宋" w:eastAsia="仿宋" w:cs="仿宋"/>
          <w:color w:val="000000"/>
          <w:kern w:val="0"/>
          <w:sz w:val="28"/>
          <w:szCs w:val="28"/>
          <w:shd w:val="clear" w:color="auto" w:fill="FFFFFF"/>
          <w:lang w:bidi="ar"/>
        </w:rPr>
        <w:t>《电子文件存储与交换格式—版式文档》（GB/T 33190-2016）</w:t>
      </w:r>
    </w:p>
    <w:p>
      <w:pPr>
        <w:spacing w:line="560" w:lineRule="exact"/>
        <w:ind w:firstLine="560" w:firstLineChars="200"/>
        <w:rPr>
          <w:rFonts w:hint="eastAsia" w:ascii="仿宋" w:hAnsi="仿宋" w:eastAsia="仿宋" w:cs="仿宋"/>
          <w:color w:val="000000"/>
          <w:kern w:val="0"/>
          <w:sz w:val="28"/>
          <w:szCs w:val="28"/>
          <w:shd w:val="clear" w:color="auto" w:fill="FFFFFF"/>
          <w:lang w:bidi="ar"/>
        </w:rPr>
      </w:pPr>
      <w:r>
        <w:rPr>
          <w:rFonts w:hint="eastAsia" w:ascii="仿宋" w:hAnsi="仿宋" w:eastAsia="仿宋" w:cs="仿宋"/>
          <w:color w:val="000000"/>
          <w:kern w:val="0"/>
          <w:sz w:val="28"/>
          <w:szCs w:val="28"/>
          <w:shd w:val="clear" w:color="auto" w:fill="FFFFFF"/>
          <w:lang w:bidi="ar"/>
        </w:rPr>
        <w:t>《政府网站网页归档与管理规范》（DB3302/T 1112-2019）</w:t>
      </w:r>
    </w:p>
    <w:p>
      <w:pPr>
        <w:pStyle w:val="2"/>
        <w:numPr>
          <w:ilvl w:val="0"/>
          <w:numId w:val="2"/>
        </w:numPr>
        <w:bidi w:val="0"/>
        <w:ind w:left="-173" w:leftChars="0" w:hanging="575"/>
        <w:jc w:val="both"/>
        <w:rPr>
          <w:rFonts w:hint="default"/>
          <w:b/>
          <w:lang w:val="en-US" w:eastAsia="zh-CN"/>
        </w:rPr>
      </w:pPr>
      <w:r>
        <w:rPr>
          <w:rFonts w:hint="eastAsia"/>
          <w:b/>
          <w:lang w:val="en-US" w:eastAsia="zh-CN"/>
        </w:rPr>
        <w:t>中标方资格要求</w:t>
      </w:r>
    </w:p>
    <w:p>
      <w:pPr>
        <w:pStyle w:val="11"/>
        <w:widowControl/>
        <w:shd w:val="clear" w:color="auto" w:fill="FFFFFF"/>
        <w:spacing w:before="75" w:beforeAutospacing="0" w:after="75" w:afterAutospacing="0" w:line="525" w:lineRule="atLeast"/>
        <w:ind w:firstLine="555"/>
        <w:rPr>
          <w:rFonts w:hint="eastAsia" w:ascii="微软雅黑" w:hAnsi="微软雅黑" w:eastAsia="微软雅黑" w:cs="微软雅黑"/>
          <w:color w:val="000000"/>
          <w:sz w:val="28"/>
          <w:szCs w:val="28"/>
        </w:rPr>
      </w:pPr>
      <w:r>
        <w:rPr>
          <w:rFonts w:hint="eastAsia" w:ascii="仿宋" w:hAnsi="仿宋" w:eastAsia="仿宋" w:cs="仿宋"/>
          <w:color w:val="000000"/>
          <w:sz w:val="28"/>
          <w:szCs w:val="28"/>
          <w:shd w:val="clear" w:color="auto" w:fill="FFFFFF"/>
        </w:rPr>
        <w:t>（一）投标人具备《政府采购法》第二十二条规定的条件,无任何外资（包括港、澳、台资）背景。（提供在中华人民共和国境内注册的法人或其他组织的营业执照或事业单位法人证书，或社会团体法人登记证书，及组织机构代码证、税务登记证（如已办理了多证合一，则仅需提供合证之后的营业执照）。</w:t>
      </w:r>
    </w:p>
    <w:p>
      <w:pPr>
        <w:pStyle w:val="11"/>
        <w:widowControl/>
        <w:shd w:val="clear" w:color="auto" w:fill="FFFFFF"/>
        <w:spacing w:before="75" w:beforeAutospacing="0" w:after="75" w:afterAutospacing="0" w:line="525" w:lineRule="atLeast"/>
        <w:ind w:firstLine="555"/>
        <w:rPr>
          <w:rFonts w:hint="eastAsia" w:ascii="微软雅黑" w:hAnsi="微软雅黑" w:eastAsia="微软雅黑" w:cs="微软雅黑"/>
          <w:color w:val="000000"/>
          <w:sz w:val="28"/>
          <w:szCs w:val="28"/>
        </w:rPr>
      </w:pPr>
      <w:r>
        <w:rPr>
          <w:rFonts w:hint="eastAsia" w:ascii="仿宋" w:hAnsi="仿宋" w:eastAsia="仿宋" w:cs="仿宋"/>
          <w:color w:val="000000"/>
          <w:sz w:val="28"/>
          <w:szCs w:val="28"/>
          <w:shd w:val="clear" w:color="auto" w:fill="FFFFFF"/>
        </w:rPr>
        <w:t>（二）投标人参与本项目投标前三年内（投标人成立不足三年的可从成立之日起算），无行贿犯罪记录及在经营活动中没有重大违法记录；参与本项目采购活动时不存在被有关部门禁止参与政府采购活动且在有效期内的情况。（由投标人提供承诺函，并作出相关内容声明）</w:t>
      </w:r>
    </w:p>
    <w:p>
      <w:pPr>
        <w:ind w:firstLine="420" w:firstLineChars="0"/>
        <w:rPr>
          <w:rFonts w:hint="default"/>
          <w:lang w:val="en-US" w:eastAsia="zh-CN"/>
        </w:rPr>
      </w:pPr>
      <w:r>
        <w:rPr>
          <w:rFonts w:hint="eastAsia" w:ascii="仿宋" w:hAnsi="仿宋" w:eastAsia="仿宋" w:cs="仿宋"/>
          <w:color w:val="000000"/>
          <w:sz w:val="28"/>
          <w:szCs w:val="28"/>
          <w:shd w:val="clear" w:color="auto" w:fill="FFFFFF"/>
        </w:rPr>
        <w:t>（三）投标人未被列入失信被执行人、重大税收违法案件当事人名单、政府采购严重违法失信行为记录名单。列入失信记录名单的中标人，将取消其参与本次投标的资格。</w:t>
      </w:r>
    </w:p>
    <w:p>
      <w:pPr>
        <w:pStyle w:val="2"/>
        <w:numPr>
          <w:ilvl w:val="0"/>
          <w:numId w:val="2"/>
        </w:numPr>
        <w:bidi w:val="0"/>
        <w:ind w:left="-173" w:leftChars="0" w:hanging="575"/>
        <w:jc w:val="both"/>
        <w:rPr>
          <w:rFonts w:hint="default"/>
          <w:b/>
          <w:lang w:val="en-US" w:eastAsia="zh-CN"/>
        </w:rPr>
      </w:pPr>
      <w:r>
        <w:rPr>
          <w:rFonts w:hint="eastAsia"/>
          <w:b/>
          <w:lang w:val="en-US" w:eastAsia="zh-CN"/>
        </w:rPr>
        <w:t>招标、评标、定标方式</w:t>
      </w:r>
    </w:p>
    <w:p>
      <w:pPr>
        <w:ind w:firstLine="420" w:firstLineChars="0"/>
        <w:rPr>
          <w:rFonts w:hint="default"/>
          <w:lang w:val="en-US" w:eastAsia="zh-CN"/>
        </w:rPr>
      </w:pPr>
      <w:r>
        <w:rPr>
          <w:rFonts w:hint="eastAsia" w:ascii="仿宋" w:hAnsi="仿宋" w:eastAsia="仿宋" w:cs="仿宋"/>
          <w:color w:val="000000"/>
          <w:sz w:val="28"/>
          <w:szCs w:val="28"/>
          <w:shd w:val="clear" w:color="auto" w:fill="FFFFFF"/>
        </w:rPr>
        <w:t>本项目采购方式为邀请招标形式，采用综合评分法评定标准，评标标准见附件《综合评分法评标标准》。如报名参加或实质性响应的供应商不足三家的重新招标。</w:t>
      </w:r>
    </w:p>
    <w:p>
      <w:pPr>
        <w:pStyle w:val="2"/>
        <w:numPr>
          <w:ilvl w:val="0"/>
          <w:numId w:val="2"/>
        </w:numPr>
        <w:bidi w:val="0"/>
        <w:ind w:left="-173" w:leftChars="0" w:hanging="575"/>
        <w:jc w:val="both"/>
        <w:rPr>
          <w:rFonts w:hint="default"/>
          <w:b/>
          <w:lang w:val="en-US" w:eastAsia="zh-CN"/>
        </w:rPr>
      </w:pPr>
      <w:r>
        <w:rPr>
          <w:rFonts w:hint="eastAsia"/>
          <w:b/>
          <w:lang w:val="en-US" w:eastAsia="zh-CN"/>
        </w:rPr>
        <w:t>商务需求</w:t>
      </w:r>
    </w:p>
    <w:p>
      <w:pPr>
        <w:pStyle w:val="11"/>
        <w:widowControl/>
        <w:shd w:val="clear" w:color="auto" w:fill="FFFFFF"/>
        <w:spacing w:before="75" w:beforeAutospacing="0" w:after="75" w:afterAutospacing="0" w:line="525" w:lineRule="atLeast"/>
        <w:rPr>
          <w:rFonts w:hint="eastAsia" w:ascii="微软雅黑" w:hAnsi="微软雅黑" w:eastAsia="微软雅黑" w:cs="微软雅黑"/>
          <w:color w:val="000000"/>
          <w:sz w:val="28"/>
          <w:szCs w:val="28"/>
        </w:rPr>
      </w:pPr>
      <w:r>
        <w:rPr>
          <w:rFonts w:hint="eastAsia" w:ascii="仿宋" w:hAnsi="仿宋" w:eastAsia="仿宋" w:cs="仿宋"/>
          <w:color w:val="000000"/>
          <w:sz w:val="28"/>
          <w:szCs w:val="28"/>
          <w:shd w:val="clear" w:color="auto" w:fill="FFFFFF"/>
        </w:rPr>
        <w:t>（</w:t>
      </w:r>
      <w:r>
        <w:rPr>
          <w:rFonts w:hint="eastAsia" w:ascii="仿宋" w:hAnsi="仿宋" w:eastAsia="仿宋" w:cs="仿宋"/>
          <w:color w:val="000000"/>
          <w:sz w:val="28"/>
          <w:szCs w:val="28"/>
          <w:shd w:val="clear" w:color="auto" w:fill="FFFFFF"/>
          <w:lang w:eastAsia="zh-CN"/>
        </w:rPr>
        <w:t>一</w:t>
      </w:r>
      <w:r>
        <w:rPr>
          <w:rFonts w:hint="eastAsia" w:ascii="仿宋" w:hAnsi="仿宋" w:eastAsia="仿宋" w:cs="仿宋"/>
          <w:color w:val="000000"/>
          <w:sz w:val="28"/>
          <w:szCs w:val="28"/>
          <w:shd w:val="clear" w:color="auto" w:fill="FFFFFF"/>
        </w:rPr>
        <w:t>）报价要求：</w:t>
      </w:r>
    </w:p>
    <w:p>
      <w:pPr>
        <w:pStyle w:val="11"/>
        <w:widowControl/>
        <w:shd w:val="clear" w:color="auto" w:fill="FFFFFF"/>
        <w:spacing w:before="75" w:beforeAutospacing="0" w:after="75" w:afterAutospacing="0" w:line="525" w:lineRule="atLeast"/>
        <w:ind w:firstLine="560" w:firstLineChars="200"/>
        <w:rPr>
          <w:rFonts w:hint="eastAsia" w:ascii="微软雅黑" w:hAnsi="微软雅黑" w:eastAsia="微软雅黑" w:cs="微软雅黑"/>
          <w:color w:val="000000"/>
          <w:sz w:val="28"/>
          <w:szCs w:val="28"/>
        </w:rPr>
      </w:pPr>
      <w:r>
        <w:rPr>
          <w:rFonts w:hint="eastAsia" w:ascii="仿宋" w:hAnsi="仿宋" w:eastAsia="仿宋" w:cs="仿宋"/>
          <w:color w:val="000000"/>
          <w:sz w:val="28"/>
          <w:szCs w:val="28"/>
          <w:shd w:val="clear" w:color="auto" w:fill="FFFFFF"/>
        </w:rPr>
        <w:t>1、本项目按照项目分项内容合计总额作为最终报价的计算方式。企业根据招标文件所提供的资料自行测算投标报价，应包括员工工资及福利、服务成本、法定税费和企业的利润。一经中标，投标报价总价作为中标人与采购方签订的合同金额，合同期限内不做调整。</w:t>
      </w:r>
    </w:p>
    <w:p>
      <w:pPr>
        <w:pStyle w:val="11"/>
        <w:widowControl/>
        <w:shd w:val="clear" w:color="auto" w:fill="FFFFFF"/>
        <w:spacing w:before="75" w:beforeAutospacing="0" w:after="75" w:afterAutospacing="0" w:line="525" w:lineRule="atLeast"/>
        <w:ind w:firstLine="555"/>
        <w:rPr>
          <w:rFonts w:hint="eastAsia" w:ascii="微软雅黑" w:hAnsi="微软雅黑" w:eastAsia="微软雅黑" w:cs="微软雅黑"/>
          <w:color w:val="000000"/>
          <w:sz w:val="28"/>
          <w:szCs w:val="28"/>
        </w:rPr>
      </w:pPr>
      <w:r>
        <w:rPr>
          <w:rFonts w:hint="eastAsia" w:ascii="仿宋" w:hAnsi="仿宋" w:eastAsia="仿宋" w:cs="仿宋"/>
          <w:color w:val="000000"/>
          <w:sz w:val="28"/>
          <w:szCs w:val="28"/>
          <w:shd w:val="clear" w:color="auto" w:fill="FFFFFF"/>
        </w:rPr>
        <w:t>2、投标人应根据本企业的成本自行决定报价，但不得以低于其企业成本的报价投标；评标时，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p>
      <w:pPr>
        <w:pStyle w:val="11"/>
        <w:widowControl/>
        <w:shd w:val="clear" w:color="auto" w:fill="FFFFFF"/>
        <w:spacing w:before="75" w:beforeAutospacing="0" w:after="75" w:afterAutospacing="0" w:line="525" w:lineRule="atLeast"/>
        <w:ind w:firstLine="555"/>
        <w:rPr>
          <w:rFonts w:hint="eastAsia" w:ascii="微软雅黑" w:hAnsi="微软雅黑" w:eastAsia="微软雅黑" w:cs="微软雅黑"/>
          <w:color w:val="000000"/>
          <w:sz w:val="28"/>
          <w:szCs w:val="28"/>
        </w:rPr>
      </w:pPr>
      <w:r>
        <w:rPr>
          <w:rFonts w:hint="eastAsia" w:ascii="仿宋" w:hAnsi="仿宋" w:eastAsia="仿宋" w:cs="仿宋"/>
          <w:color w:val="000000"/>
          <w:sz w:val="28"/>
          <w:szCs w:val="28"/>
          <w:shd w:val="clear" w:color="auto" w:fill="FFFFFF"/>
        </w:rPr>
        <w:t>3、投标人的报价，应当是本项目采购范围和采购文件及合同条款上所列的各项内容中所述的全部，不得有任何重复，并以投标人在投标文件中提出的综合报价为依据。</w:t>
      </w:r>
    </w:p>
    <w:p>
      <w:pPr>
        <w:pStyle w:val="11"/>
        <w:widowControl/>
        <w:shd w:val="clear" w:color="auto" w:fill="FFFFFF"/>
        <w:spacing w:before="75" w:beforeAutospacing="0" w:after="75" w:afterAutospacing="0" w:line="525" w:lineRule="atLeast"/>
        <w:ind w:firstLine="555"/>
        <w:rPr>
          <w:rFonts w:hint="eastAsia" w:ascii="微软雅黑" w:hAnsi="微软雅黑" w:eastAsia="微软雅黑" w:cs="微软雅黑"/>
          <w:color w:val="000000"/>
          <w:sz w:val="28"/>
          <w:szCs w:val="28"/>
        </w:rPr>
      </w:pPr>
      <w:r>
        <w:rPr>
          <w:rFonts w:hint="eastAsia" w:ascii="仿宋" w:hAnsi="仿宋" w:eastAsia="仿宋" w:cs="仿宋"/>
          <w:color w:val="000000"/>
          <w:sz w:val="28"/>
          <w:szCs w:val="28"/>
          <w:shd w:val="clear" w:color="auto" w:fill="FFFFFF"/>
        </w:rPr>
        <w:t>4、投标人应充分了解报价风险，项目的位置、情况及任何其它足以影响投标报价的情况，任何因忽视或误解项目情况而导致的索赔或服务期限延长申请将不获批准。</w:t>
      </w:r>
    </w:p>
    <w:p>
      <w:pPr>
        <w:pStyle w:val="11"/>
        <w:widowControl/>
        <w:shd w:val="clear" w:color="auto" w:fill="FFFFFF"/>
        <w:spacing w:before="75" w:beforeAutospacing="0" w:after="75" w:afterAutospacing="0" w:line="525" w:lineRule="atLeast"/>
        <w:rPr>
          <w:rFonts w:hint="eastAsia" w:ascii="微软雅黑" w:hAnsi="微软雅黑" w:eastAsia="微软雅黑" w:cs="微软雅黑"/>
          <w:color w:val="000000"/>
          <w:sz w:val="28"/>
          <w:szCs w:val="28"/>
        </w:rPr>
      </w:pPr>
      <w:r>
        <w:rPr>
          <w:rFonts w:hint="eastAsia" w:ascii="仿宋" w:hAnsi="仿宋" w:eastAsia="仿宋" w:cs="仿宋"/>
          <w:color w:val="000000"/>
          <w:sz w:val="28"/>
          <w:szCs w:val="28"/>
          <w:shd w:val="clear" w:color="auto" w:fill="FFFFFF"/>
        </w:rPr>
        <w:t>（</w:t>
      </w:r>
      <w:r>
        <w:rPr>
          <w:rFonts w:hint="eastAsia" w:ascii="仿宋" w:hAnsi="仿宋" w:eastAsia="仿宋" w:cs="仿宋"/>
          <w:color w:val="000000"/>
          <w:sz w:val="28"/>
          <w:szCs w:val="28"/>
          <w:shd w:val="clear" w:color="auto" w:fill="FFFFFF"/>
          <w:lang w:eastAsia="zh-CN"/>
        </w:rPr>
        <w:t>二</w:t>
      </w:r>
      <w:r>
        <w:rPr>
          <w:rFonts w:hint="eastAsia" w:ascii="仿宋" w:hAnsi="仿宋" w:eastAsia="仿宋" w:cs="仿宋"/>
          <w:color w:val="000000"/>
          <w:sz w:val="28"/>
          <w:szCs w:val="28"/>
          <w:shd w:val="clear" w:color="auto" w:fill="FFFFFF"/>
        </w:rPr>
        <w:t>）违约责任：</w:t>
      </w:r>
    </w:p>
    <w:p>
      <w:pPr>
        <w:pStyle w:val="11"/>
        <w:widowControl/>
        <w:shd w:val="clear" w:color="auto" w:fill="FFFFFF"/>
        <w:spacing w:before="75" w:beforeAutospacing="0" w:after="75" w:afterAutospacing="0" w:line="525" w:lineRule="atLeast"/>
        <w:ind w:firstLine="555"/>
        <w:rPr>
          <w:rFonts w:hint="eastAsia" w:ascii="微软雅黑" w:hAnsi="微软雅黑" w:eastAsia="微软雅黑" w:cs="微软雅黑"/>
          <w:color w:val="000000"/>
          <w:sz w:val="28"/>
          <w:szCs w:val="28"/>
        </w:rPr>
      </w:pPr>
      <w:r>
        <w:rPr>
          <w:rFonts w:hint="eastAsia" w:ascii="仿宋" w:hAnsi="仿宋" w:eastAsia="仿宋" w:cs="仿宋"/>
          <w:color w:val="000000"/>
          <w:sz w:val="28"/>
          <w:szCs w:val="28"/>
          <w:shd w:val="clear" w:color="auto" w:fill="FFFFFF"/>
        </w:rPr>
        <w:t>1、双方不得擅自解除本合同。中标方若擅自解除本合同（中标方明确表示不履行合同或无合同依据停止工作超过十天的，视为中标方擅自解除本合同）。则应退还采购方已支付的全部费用，同时还应按合同价款的30%赔偿采购方损失。</w:t>
      </w:r>
    </w:p>
    <w:p>
      <w:pPr>
        <w:pStyle w:val="11"/>
        <w:widowControl/>
        <w:shd w:val="clear" w:color="auto" w:fill="FFFFFF"/>
        <w:spacing w:before="75" w:beforeAutospacing="0" w:after="75" w:afterAutospacing="0" w:line="525" w:lineRule="atLeast"/>
        <w:ind w:firstLine="555"/>
        <w:rPr>
          <w:rFonts w:hint="eastAsia" w:ascii="微软雅黑" w:hAnsi="微软雅黑" w:eastAsia="微软雅黑" w:cs="微软雅黑"/>
          <w:color w:val="000000"/>
          <w:sz w:val="28"/>
          <w:szCs w:val="28"/>
        </w:rPr>
      </w:pPr>
      <w:r>
        <w:rPr>
          <w:rFonts w:hint="eastAsia" w:ascii="仿宋" w:hAnsi="仿宋" w:eastAsia="仿宋" w:cs="仿宋"/>
          <w:color w:val="000000"/>
          <w:sz w:val="28"/>
          <w:szCs w:val="28"/>
          <w:shd w:val="clear" w:color="auto" w:fill="FFFFFF"/>
        </w:rPr>
        <w:t>2、双方未按本合同约定履行义务，而导致对方蒙受经济损失的，应赔偿对方经济损失。</w:t>
      </w:r>
    </w:p>
    <w:p>
      <w:pPr>
        <w:pStyle w:val="11"/>
        <w:widowControl/>
        <w:shd w:val="clear" w:color="auto" w:fill="FFFFFF"/>
        <w:spacing w:before="75" w:beforeAutospacing="0" w:after="75" w:afterAutospacing="0" w:line="525" w:lineRule="atLeast"/>
        <w:ind w:firstLine="555"/>
        <w:rPr>
          <w:rFonts w:hint="eastAsia" w:ascii="微软雅黑" w:hAnsi="微软雅黑" w:eastAsia="微软雅黑" w:cs="微软雅黑"/>
          <w:color w:val="000000"/>
          <w:sz w:val="28"/>
          <w:szCs w:val="28"/>
        </w:rPr>
      </w:pPr>
      <w:r>
        <w:rPr>
          <w:rFonts w:hint="eastAsia" w:ascii="仿宋" w:hAnsi="仿宋" w:eastAsia="仿宋" w:cs="仿宋"/>
          <w:color w:val="000000"/>
          <w:sz w:val="28"/>
          <w:szCs w:val="28"/>
          <w:shd w:val="clear" w:color="auto" w:fill="FFFFFF"/>
        </w:rPr>
        <w:t>3、中标方擅自将本合同的全部或部分权利义务转让给任何第三方、或者将本合同项下的服务分包给任何第三方的，应按本合同价款的30%支付采购方违约金，同时采购方有权单方面解除本合同。</w:t>
      </w:r>
    </w:p>
    <w:p>
      <w:pPr>
        <w:pStyle w:val="11"/>
        <w:widowControl/>
        <w:shd w:val="clear" w:color="auto" w:fill="FFFFFF"/>
        <w:spacing w:before="75" w:beforeAutospacing="0" w:after="75" w:afterAutospacing="0" w:line="525" w:lineRule="atLeast"/>
        <w:ind w:firstLine="555"/>
        <w:rPr>
          <w:rFonts w:hint="eastAsia" w:ascii="微软雅黑" w:hAnsi="微软雅黑" w:eastAsia="微软雅黑" w:cs="微软雅黑"/>
          <w:color w:val="000000"/>
          <w:sz w:val="28"/>
          <w:szCs w:val="28"/>
        </w:rPr>
      </w:pPr>
      <w:r>
        <w:rPr>
          <w:rFonts w:hint="eastAsia" w:ascii="仿宋" w:hAnsi="仿宋" w:eastAsia="仿宋" w:cs="仿宋"/>
          <w:color w:val="000000"/>
          <w:sz w:val="28"/>
          <w:szCs w:val="28"/>
          <w:shd w:val="clear" w:color="auto" w:fill="FFFFFF"/>
        </w:rPr>
        <w:t>4、中标方应对工作成果的质量负责，若因中标方提供的工作质量不合格导致严重问题的，中标方应承担全部责任，赔偿采购方全部损失。</w:t>
      </w:r>
    </w:p>
    <w:p>
      <w:pPr>
        <w:pStyle w:val="2"/>
        <w:numPr>
          <w:ilvl w:val="0"/>
          <w:numId w:val="2"/>
        </w:numPr>
        <w:bidi w:val="0"/>
        <w:ind w:left="-173" w:leftChars="0" w:hanging="575"/>
        <w:jc w:val="both"/>
        <w:rPr>
          <w:rFonts w:hint="default"/>
          <w:b/>
          <w:lang w:val="en-US" w:eastAsia="zh-CN"/>
        </w:rPr>
      </w:pPr>
      <w:r>
        <w:rPr>
          <w:rFonts w:hint="eastAsia"/>
          <w:b/>
          <w:lang w:val="en-US" w:eastAsia="zh-CN"/>
        </w:rPr>
        <w:t>其他</w:t>
      </w:r>
    </w:p>
    <w:p>
      <w:pPr>
        <w:rPr>
          <w:rFonts w:hint="default" w:ascii="仿宋" w:hAnsi="仿宋" w:eastAsia="仿宋" w:cs="仿宋"/>
          <w:color w:val="000000"/>
          <w:kern w:val="0"/>
          <w:sz w:val="28"/>
          <w:szCs w:val="28"/>
          <w:shd w:val="clear" w:color="auto" w:fill="FFFFFF"/>
          <w:lang w:val="en-US" w:eastAsia="zh-CN" w:bidi="ar"/>
        </w:rPr>
      </w:pPr>
      <w:r>
        <w:rPr>
          <w:rFonts w:hint="default" w:ascii="仿宋" w:hAnsi="仿宋" w:eastAsia="仿宋" w:cs="仿宋"/>
          <w:color w:val="000000"/>
          <w:kern w:val="0"/>
          <w:sz w:val="28"/>
          <w:szCs w:val="28"/>
          <w:shd w:val="clear" w:color="auto" w:fill="FFFFFF"/>
          <w:lang w:val="en-US" w:eastAsia="zh-CN" w:bidi="ar"/>
        </w:rPr>
        <w:t>招标评分表见附件。</w:t>
      </w:r>
    </w:p>
    <w:p>
      <w:pPr>
        <w:rPr>
          <w:rFonts w:hint="default" w:ascii="仿宋" w:hAnsi="仿宋" w:eastAsia="仿宋" w:cs="仿宋"/>
          <w:color w:val="000000"/>
          <w:kern w:val="0"/>
          <w:sz w:val="28"/>
          <w:szCs w:val="28"/>
          <w:shd w:val="clear" w:color="auto" w:fill="FFFFFF"/>
          <w:lang w:val="en-US" w:eastAsia="zh-CN" w:bidi="ar"/>
        </w:rPr>
      </w:pPr>
      <w:r>
        <w:rPr>
          <w:rFonts w:hint="default" w:ascii="仿宋" w:hAnsi="仿宋" w:eastAsia="仿宋" w:cs="仿宋"/>
          <w:color w:val="000000"/>
          <w:kern w:val="0"/>
          <w:sz w:val="28"/>
          <w:szCs w:val="28"/>
          <w:shd w:val="clear" w:color="auto" w:fill="FFFFFF"/>
          <w:lang w:val="en-US" w:eastAsia="zh-CN" w:bidi="ar"/>
        </w:rPr>
        <w:t>本项目不得分包、转包。</w:t>
      </w:r>
    </w:p>
    <w:p>
      <w:pPr>
        <w:rPr>
          <w:rFonts w:hint="default" w:ascii="仿宋" w:hAnsi="仿宋" w:eastAsia="仿宋" w:cs="仿宋"/>
          <w:color w:val="000000"/>
          <w:kern w:val="0"/>
          <w:sz w:val="28"/>
          <w:szCs w:val="28"/>
          <w:shd w:val="clear" w:color="auto" w:fill="FFFFFF"/>
          <w:lang w:val="en-US" w:eastAsia="zh-CN" w:bidi="ar"/>
        </w:rPr>
      </w:pPr>
      <w:r>
        <w:rPr>
          <w:rFonts w:hint="default" w:ascii="仿宋" w:hAnsi="仿宋" w:eastAsia="仿宋" w:cs="仿宋"/>
          <w:color w:val="000000"/>
          <w:kern w:val="0"/>
          <w:sz w:val="28"/>
          <w:szCs w:val="28"/>
          <w:shd w:val="clear" w:color="auto" w:fill="FFFFFF"/>
          <w:lang w:val="en-US" w:eastAsia="zh-CN" w:bidi="ar"/>
        </w:rPr>
        <w:t>项目最终解释权归宁波市档案馆所有。</w:t>
      </w:r>
    </w:p>
    <w:p>
      <w:pPr>
        <w:pStyle w:val="15"/>
        <w:ind w:left="0" w:leftChars="0" w:firstLine="0" w:firstLineChars="0"/>
        <w:rPr>
          <w:rFonts w:hint="default"/>
          <w:lang w:val="en-US" w:eastAsia="zh-CN"/>
        </w:rPr>
      </w:pPr>
    </w:p>
    <w:p>
      <w:pPr>
        <w:widowControl/>
        <w:shd w:val="clear" w:color="auto" w:fill="FFFFFF"/>
        <w:wordWrap/>
        <w:jc w:val="left"/>
        <w:rPr>
          <w:rFonts w:hint="eastAsia" w:ascii="仿宋" w:hAnsi="仿宋" w:eastAsia="仿宋" w:cs="仿宋"/>
          <w:color w:val="000000"/>
          <w:kern w:val="0"/>
          <w:sz w:val="28"/>
          <w:szCs w:val="28"/>
          <w:shd w:val="clear" w:color="auto" w:fill="FFFFFF"/>
          <w:lang w:bidi="ar"/>
        </w:rPr>
      </w:pPr>
    </w:p>
    <w:p>
      <w:pPr>
        <w:widowControl/>
        <w:shd w:val="clear" w:color="auto" w:fill="FFFFFF"/>
        <w:wordWrap w:val="0"/>
        <w:jc w:val="right"/>
        <w:rPr>
          <w:rFonts w:hint="eastAsia" w:ascii="仿宋" w:hAnsi="仿宋" w:eastAsia="仿宋" w:cs="仿宋"/>
          <w:color w:val="000000"/>
          <w:kern w:val="0"/>
          <w:sz w:val="28"/>
          <w:szCs w:val="28"/>
          <w:shd w:val="clear" w:color="auto" w:fill="FFFFFF"/>
          <w:lang w:bidi="ar"/>
        </w:rPr>
      </w:pPr>
    </w:p>
    <w:p>
      <w:pPr>
        <w:rPr>
          <w:rFonts w:hint="default"/>
          <w:lang w:val="en-US" w:eastAsia="zh-CN"/>
        </w:rPr>
      </w:pPr>
    </w:p>
    <w:p>
      <w:pPr>
        <w:rPr>
          <w:rFonts w:hint="eastAsia"/>
          <w:b/>
          <w:bCs/>
          <w:sz w:val="28"/>
          <w:szCs w:val="28"/>
          <w:lang w:val="en-US" w:eastAsia="zh-CN"/>
        </w:rPr>
      </w:pPr>
      <w:r>
        <w:rPr>
          <w:rFonts w:hint="eastAsia"/>
          <w:b/>
          <w:bCs/>
          <w:sz w:val="28"/>
          <w:szCs w:val="28"/>
          <w:lang w:val="en-US" w:eastAsia="zh-CN"/>
        </w:rPr>
        <w:br w:type="page"/>
      </w:r>
    </w:p>
    <w:p>
      <w:pPr>
        <w:pStyle w:val="15"/>
        <w:ind w:left="0" w:leftChars="0" w:firstLine="0" w:firstLineChars="0"/>
        <w:rPr>
          <w:rFonts w:hint="eastAsia"/>
          <w:b/>
          <w:bCs/>
          <w:sz w:val="28"/>
          <w:szCs w:val="28"/>
        </w:rPr>
      </w:pPr>
      <w:r>
        <w:rPr>
          <w:rFonts w:hint="eastAsia"/>
          <w:b/>
          <w:bCs/>
          <w:sz w:val="28"/>
          <w:szCs w:val="28"/>
          <w:lang w:val="en-US" w:eastAsia="zh-CN"/>
        </w:rPr>
        <w:t>附件：</w:t>
      </w:r>
      <w:r>
        <w:rPr>
          <w:rFonts w:hint="eastAsia"/>
          <w:b/>
          <w:bCs/>
          <w:sz w:val="28"/>
          <w:szCs w:val="28"/>
        </w:rPr>
        <w:t>综合评分法评标标准</w:t>
      </w:r>
    </w:p>
    <w:tbl>
      <w:tblPr>
        <w:tblStyle w:val="12"/>
        <w:tblW w:w="94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200"/>
        <w:gridCol w:w="1446"/>
        <w:gridCol w:w="713"/>
        <w:gridCol w:w="4459"/>
        <w:gridCol w:w="1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53" w:hRule="atLeast"/>
          <w:jc w:val="center"/>
        </w:trPr>
        <w:tc>
          <w:tcPr>
            <w:tcW w:w="2646" w:type="dxa"/>
            <w:gridSpan w:val="2"/>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aps w:val="0"/>
                <w:color w:val="000000"/>
                <w:spacing w:val="0"/>
                <w:kern w:val="0"/>
                <w:sz w:val="27"/>
                <w:szCs w:val="27"/>
                <w:lang w:val="en-US" w:eastAsia="zh-CN" w:bidi="ar"/>
              </w:rPr>
              <w:t>评分项目</w:t>
            </w:r>
          </w:p>
        </w:tc>
        <w:tc>
          <w:tcPr>
            <w:tcW w:w="713" w:type="dxa"/>
            <w:tcBorders>
              <w:top w:val="single" w:color="000000" w:sz="8" w:space="0"/>
              <w:left w:val="nil"/>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aps w:val="0"/>
                <w:color w:val="000000"/>
                <w:spacing w:val="0"/>
                <w:kern w:val="0"/>
                <w:sz w:val="27"/>
                <w:szCs w:val="27"/>
                <w:lang w:val="en-US" w:eastAsia="zh-CN" w:bidi="ar"/>
              </w:rPr>
              <w:t>分值</w:t>
            </w:r>
          </w:p>
        </w:tc>
        <w:tc>
          <w:tcPr>
            <w:tcW w:w="4459" w:type="dxa"/>
            <w:tcBorders>
              <w:top w:val="single" w:color="000000" w:sz="8" w:space="0"/>
              <w:left w:val="nil"/>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aps w:val="0"/>
                <w:color w:val="000000"/>
                <w:spacing w:val="0"/>
                <w:kern w:val="0"/>
                <w:sz w:val="27"/>
                <w:szCs w:val="27"/>
                <w:lang w:val="en-US" w:eastAsia="zh-CN" w:bidi="ar"/>
              </w:rPr>
              <w:t>评标要点及说明</w:t>
            </w:r>
          </w:p>
        </w:tc>
        <w:tc>
          <w:tcPr>
            <w:tcW w:w="1590" w:type="dxa"/>
            <w:tcBorders>
              <w:top w:val="single" w:color="000000" w:sz="8" w:space="0"/>
              <w:left w:val="nil"/>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aps w:val="0"/>
                <w:color w:val="000000"/>
                <w:spacing w:val="0"/>
                <w:kern w:val="0"/>
                <w:sz w:val="27"/>
                <w:szCs w:val="27"/>
                <w:lang w:val="en-US" w:eastAsia="zh-CN" w:bidi="ar"/>
              </w:rPr>
              <w:t>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76" w:hRule="atLeast"/>
          <w:jc w:val="center"/>
        </w:trPr>
        <w:tc>
          <w:tcPr>
            <w:tcW w:w="2646" w:type="dxa"/>
            <w:gridSpan w:val="2"/>
            <w:tcBorders>
              <w:top w:val="nil"/>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pPr>
            <w:r>
              <w:rPr>
                <w:rFonts w:hint="eastAsia" w:ascii="仿宋" w:hAnsi="仿宋" w:eastAsia="仿宋" w:cs="仿宋"/>
                <w:i w:val="0"/>
                <w:iCs w:val="0"/>
                <w:caps w:val="0"/>
                <w:color w:val="000000"/>
                <w:spacing w:val="0"/>
                <w:kern w:val="0"/>
                <w:sz w:val="27"/>
                <w:szCs w:val="27"/>
                <w:lang w:val="en-US" w:eastAsia="zh-CN" w:bidi="ar"/>
              </w:rPr>
              <w:t>价格分（20）</w:t>
            </w:r>
          </w:p>
        </w:tc>
        <w:tc>
          <w:tcPr>
            <w:tcW w:w="713" w:type="dxa"/>
            <w:tcBorders>
              <w:top w:val="nil"/>
              <w:left w:val="nil"/>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pPr>
            <w:r>
              <w:rPr>
                <w:rFonts w:hint="eastAsia" w:ascii="仿宋" w:hAnsi="仿宋" w:eastAsia="仿宋" w:cs="仿宋"/>
                <w:i w:val="0"/>
                <w:iCs w:val="0"/>
                <w:caps w:val="0"/>
                <w:color w:val="000000"/>
                <w:spacing w:val="0"/>
                <w:kern w:val="0"/>
                <w:sz w:val="27"/>
                <w:szCs w:val="27"/>
                <w:lang w:val="en-US" w:eastAsia="zh-CN" w:bidi="ar"/>
              </w:rPr>
              <w:t>20</w:t>
            </w:r>
          </w:p>
        </w:tc>
        <w:tc>
          <w:tcPr>
            <w:tcW w:w="4459" w:type="dxa"/>
            <w:tcBorders>
              <w:top w:val="nil"/>
              <w:left w:val="nil"/>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center"/>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有效投标报价的最低价作为评标基准价；按［投标报价得分=（评标基准价/投标报价）×20］的计算公式计算。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center"/>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center"/>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1、投标报价超过对应最高限价的作无效标处理。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center"/>
              <w:rPr>
                <w:sz w:val="20"/>
                <w:szCs w:val="22"/>
              </w:rPr>
            </w:pPr>
            <w:r>
              <w:rPr>
                <w:rFonts w:hint="eastAsia" w:ascii="仿宋" w:hAnsi="仿宋" w:eastAsia="仿宋" w:cs="仿宋"/>
                <w:i w:val="0"/>
                <w:iCs w:val="0"/>
                <w:caps w:val="0"/>
                <w:color w:val="000000"/>
                <w:spacing w:val="0"/>
                <w:kern w:val="0"/>
                <w:sz w:val="24"/>
                <w:szCs w:val="24"/>
                <w:lang w:val="en-US" w:eastAsia="zh-CN" w:bidi="ar"/>
              </w:rPr>
              <w:t>2、价格得分小数点后保留2位小数，第3位小数四舍五入。</w:t>
            </w:r>
          </w:p>
        </w:tc>
        <w:tc>
          <w:tcPr>
            <w:tcW w:w="1590" w:type="dxa"/>
            <w:tcBorders>
              <w:top w:val="nil"/>
              <w:left w:val="nil"/>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ahoma" w:hAnsi="Tahoma" w:eastAsia="Tahoma" w:cs="Tahoma"/>
                <w:i w:val="0"/>
                <w:iCs w:val="0"/>
                <w:caps w:val="0"/>
                <w:color w:val="000000"/>
                <w:spacing w:val="0"/>
                <w:kern w:val="0"/>
                <w:sz w:val="27"/>
                <w:szCs w:val="27"/>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28" w:hRule="atLeast"/>
          <w:jc w:val="center"/>
        </w:trPr>
        <w:tc>
          <w:tcPr>
            <w:tcW w:w="1200" w:type="dxa"/>
            <w:vMerge w:val="restart"/>
            <w:tcBorders>
              <w:top w:val="nil"/>
              <w:left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rPr>
                <w:rFonts w:hint="eastAsia" w:ascii="仿宋" w:hAnsi="仿宋" w:eastAsia="仿宋" w:cs="仿宋"/>
                <w:i w:val="0"/>
                <w:iCs w:val="0"/>
                <w:caps w:val="0"/>
                <w:color w:val="000000"/>
                <w:spacing w:val="0"/>
                <w:kern w:val="0"/>
                <w:sz w:val="27"/>
                <w:szCs w:val="27"/>
                <w:lang w:val="en-US" w:eastAsia="zh-CN" w:bidi="ar"/>
              </w:rPr>
            </w:pPr>
            <w:r>
              <w:rPr>
                <w:rFonts w:hint="eastAsia" w:ascii="仿宋" w:hAnsi="仿宋" w:eastAsia="仿宋" w:cs="仿宋"/>
                <w:i w:val="0"/>
                <w:iCs w:val="0"/>
                <w:caps w:val="0"/>
                <w:color w:val="000000"/>
                <w:spacing w:val="0"/>
                <w:kern w:val="0"/>
                <w:sz w:val="27"/>
                <w:szCs w:val="27"/>
                <w:lang w:val="en-US" w:eastAsia="zh-CN" w:bidi="ar"/>
              </w:rPr>
              <w:t>商务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pPr>
            <w:r>
              <w:rPr>
                <w:rFonts w:hint="eastAsia" w:ascii="仿宋" w:hAnsi="仿宋" w:eastAsia="仿宋" w:cs="仿宋"/>
                <w:i w:val="0"/>
                <w:iCs w:val="0"/>
                <w:caps w:val="0"/>
                <w:color w:val="000000"/>
                <w:spacing w:val="0"/>
                <w:kern w:val="0"/>
                <w:sz w:val="27"/>
                <w:szCs w:val="27"/>
                <w:lang w:val="en-US" w:eastAsia="zh-CN" w:bidi="ar"/>
              </w:rPr>
              <w:t>（20分）</w:t>
            </w:r>
          </w:p>
        </w:tc>
        <w:tc>
          <w:tcPr>
            <w:tcW w:w="1446" w:type="dxa"/>
            <w:tcBorders>
              <w:top w:val="nil"/>
              <w:left w:val="nil"/>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pPr>
            <w:r>
              <w:rPr>
                <w:rFonts w:hint="eastAsia" w:ascii="仿宋" w:hAnsi="仿宋" w:eastAsia="仿宋" w:cs="仿宋"/>
                <w:i w:val="0"/>
                <w:iCs w:val="0"/>
                <w:caps w:val="0"/>
                <w:color w:val="000000"/>
                <w:spacing w:val="0"/>
                <w:kern w:val="0"/>
                <w:sz w:val="27"/>
                <w:szCs w:val="27"/>
                <w:lang w:val="en-US" w:eastAsia="zh-CN" w:bidi="ar"/>
              </w:rPr>
              <w:t>案例得分</w:t>
            </w:r>
          </w:p>
        </w:tc>
        <w:tc>
          <w:tcPr>
            <w:tcW w:w="713" w:type="dxa"/>
            <w:tcBorders>
              <w:top w:val="nil"/>
              <w:left w:val="nil"/>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pPr>
            <w:r>
              <w:rPr>
                <w:rFonts w:hint="eastAsia" w:ascii="仿宋" w:hAnsi="仿宋" w:eastAsia="仿宋" w:cs="仿宋"/>
                <w:i w:val="0"/>
                <w:iCs w:val="0"/>
                <w:caps w:val="0"/>
                <w:color w:val="000000"/>
                <w:spacing w:val="0"/>
                <w:kern w:val="0"/>
                <w:sz w:val="27"/>
                <w:szCs w:val="27"/>
                <w:lang w:val="en-US" w:eastAsia="zh-CN" w:bidi="ar"/>
              </w:rPr>
              <w:t>10</w:t>
            </w:r>
          </w:p>
        </w:tc>
        <w:tc>
          <w:tcPr>
            <w:tcW w:w="4459" w:type="dxa"/>
            <w:tcBorders>
              <w:top w:val="nil"/>
              <w:left w:val="nil"/>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center"/>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2021年1月1日至今（以合同签订之日为准），投标人承担过同类型项目业绩的，每个合同得5分，最高得10分。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center"/>
              <w:rPr>
                <w:sz w:val="20"/>
                <w:szCs w:val="22"/>
              </w:rPr>
            </w:pPr>
            <w:r>
              <w:rPr>
                <w:rFonts w:hint="eastAsia" w:ascii="仿宋" w:hAnsi="仿宋" w:eastAsia="仿宋" w:cs="仿宋"/>
                <w:i w:val="0"/>
                <w:iCs w:val="0"/>
                <w:caps w:val="0"/>
                <w:color w:val="000000"/>
                <w:spacing w:val="0"/>
                <w:kern w:val="0"/>
                <w:sz w:val="24"/>
                <w:szCs w:val="24"/>
                <w:lang w:val="en-US" w:eastAsia="zh-CN" w:bidi="ar"/>
              </w:rPr>
              <w:t>注：投标文件中需提供合同复印件加盖公章，未提供不得分。</w:t>
            </w:r>
          </w:p>
        </w:tc>
        <w:tc>
          <w:tcPr>
            <w:tcW w:w="1590" w:type="dxa"/>
            <w:tcBorders>
              <w:top w:val="single" w:color="000000" w:sz="8" w:space="0"/>
              <w:left w:val="nil"/>
              <w:bottom w:val="single" w:color="000000" w:sz="8" w:space="0"/>
              <w:right w:val="single" w:color="000000" w:sz="8" w:space="0"/>
            </w:tcBorders>
            <w:shd w:val="clear" w:color="auto" w:fill="FFFFFF"/>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微软雅黑" w:hAnsi="微软雅黑" w:eastAsia="微软雅黑" w:cs="微软雅黑"/>
                <w:i w:val="0"/>
                <w:iCs w:val="0"/>
                <w:caps w:val="0"/>
                <w:color w:val="000000"/>
                <w:spacing w:val="0"/>
                <w:kern w:val="0"/>
                <w:sz w:val="27"/>
                <w:szCs w:val="27"/>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28" w:hRule="atLeast"/>
          <w:jc w:val="center"/>
        </w:trPr>
        <w:tc>
          <w:tcPr>
            <w:tcW w:w="1200" w:type="dxa"/>
            <w:vMerge w:val="continue"/>
            <w:tcBorders>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rPr>
                <w:rFonts w:hint="eastAsia" w:ascii="仿宋" w:hAnsi="仿宋" w:eastAsia="仿宋" w:cs="仿宋"/>
                <w:i w:val="0"/>
                <w:iCs w:val="0"/>
                <w:caps w:val="0"/>
                <w:color w:val="000000"/>
                <w:spacing w:val="0"/>
                <w:kern w:val="0"/>
                <w:sz w:val="27"/>
                <w:szCs w:val="27"/>
                <w:lang w:val="en-US" w:eastAsia="zh-CN" w:bidi="ar"/>
              </w:rPr>
            </w:pPr>
          </w:p>
        </w:tc>
        <w:tc>
          <w:tcPr>
            <w:tcW w:w="1446" w:type="dxa"/>
            <w:tcBorders>
              <w:top w:val="nil"/>
              <w:left w:val="nil"/>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 w:hAnsi="仿宋" w:eastAsia="仿宋" w:cs="仿宋"/>
                <w:i w:val="0"/>
                <w:iCs w:val="0"/>
                <w:caps w:val="0"/>
                <w:color w:val="000000"/>
                <w:spacing w:val="0"/>
                <w:kern w:val="0"/>
                <w:sz w:val="27"/>
                <w:szCs w:val="27"/>
                <w:lang w:val="en-US" w:eastAsia="zh-CN" w:bidi="ar"/>
              </w:rPr>
            </w:pPr>
            <w:r>
              <w:rPr>
                <w:rFonts w:hint="eastAsia" w:ascii="仿宋" w:hAnsi="仿宋" w:eastAsia="仿宋" w:cs="仿宋"/>
                <w:i w:val="0"/>
                <w:iCs w:val="0"/>
                <w:caps w:val="0"/>
                <w:color w:val="000000"/>
                <w:spacing w:val="0"/>
                <w:kern w:val="0"/>
                <w:sz w:val="27"/>
                <w:szCs w:val="27"/>
                <w:lang w:val="en-US" w:eastAsia="zh-CN" w:bidi="ar"/>
              </w:rPr>
              <w:t>企业实力</w:t>
            </w:r>
          </w:p>
        </w:tc>
        <w:tc>
          <w:tcPr>
            <w:tcW w:w="713" w:type="dxa"/>
            <w:tcBorders>
              <w:top w:val="nil"/>
              <w:left w:val="nil"/>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仿宋" w:hAnsi="仿宋" w:eastAsia="仿宋" w:cs="仿宋"/>
                <w:i w:val="0"/>
                <w:iCs w:val="0"/>
                <w:caps w:val="0"/>
                <w:color w:val="000000"/>
                <w:spacing w:val="0"/>
                <w:kern w:val="0"/>
                <w:sz w:val="27"/>
                <w:szCs w:val="27"/>
                <w:lang w:val="en-US" w:eastAsia="zh-CN" w:bidi="ar"/>
              </w:rPr>
            </w:pPr>
            <w:r>
              <w:rPr>
                <w:rFonts w:hint="eastAsia" w:ascii="仿宋" w:hAnsi="仿宋" w:eastAsia="仿宋" w:cs="仿宋"/>
                <w:i w:val="0"/>
                <w:iCs w:val="0"/>
                <w:caps w:val="0"/>
                <w:color w:val="000000"/>
                <w:spacing w:val="0"/>
                <w:kern w:val="0"/>
                <w:sz w:val="27"/>
                <w:szCs w:val="27"/>
                <w:lang w:val="en-US" w:eastAsia="zh-CN" w:bidi="ar"/>
              </w:rPr>
              <w:t>10</w:t>
            </w:r>
          </w:p>
        </w:tc>
        <w:tc>
          <w:tcPr>
            <w:tcW w:w="4459" w:type="dxa"/>
            <w:tcBorders>
              <w:top w:val="nil"/>
              <w:left w:val="nil"/>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center"/>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投标人具有质量管理体系认证证书、服务管理体系认证证书、信息安全管理体系认证证书、软件能力成熟度集成模型-CMMI3证书的，每具有一项得2.5分，最多得10分。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center"/>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注：投标文件中提供有效期内的证书复印件并加盖公章，不提供的不得分。</w:t>
            </w:r>
          </w:p>
        </w:tc>
        <w:tc>
          <w:tcPr>
            <w:tcW w:w="1590" w:type="dxa"/>
            <w:tcBorders>
              <w:top w:val="single" w:color="000000" w:sz="8" w:space="0"/>
              <w:left w:val="nil"/>
              <w:bottom w:val="single" w:color="000000" w:sz="8" w:space="0"/>
              <w:right w:val="single" w:color="000000" w:sz="8" w:space="0"/>
            </w:tcBorders>
            <w:shd w:val="clear" w:color="auto" w:fill="FFFFFF"/>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微软雅黑" w:hAnsi="微软雅黑" w:eastAsia="微软雅黑" w:cs="微软雅黑"/>
                <w:i w:val="0"/>
                <w:iCs w:val="0"/>
                <w:caps w:val="0"/>
                <w:color w:val="000000"/>
                <w:spacing w:val="0"/>
                <w:kern w:val="0"/>
                <w:sz w:val="27"/>
                <w:szCs w:val="27"/>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290" w:hRule="atLeast"/>
          <w:jc w:val="center"/>
        </w:trPr>
        <w:tc>
          <w:tcPr>
            <w:tcW w:w="1200" w:type="dxa"/>
            <w:vMerge w:val="restart"/>
            <w:tcBorders>
              <w:top w:val="nil"/>
              <w:left w:val="single" w:color="000000" w:sz="8" w:space="0"/>
              <w:bottom w:val="nil"/>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 w:hAnsi="仿宋" w:eastAsia="仿宋" w:cs="仿宋"/>
                <w:i w:val="0"/>
                <w:iCs w:val="0"/>
                <w:caps w:val="0"/>
                <w:color w:val="000000"/>
                <w:spacing w:val="0"/>
                <w:kern w:val="0"/>
                <w:sz w:val="27"/>
                <w:szCs w:val="27"/>
                <w:lang w:val="en-US" w:eastAsia="zh-CN" w:bidi="ar"/>
              </w:rPr>
            </w:pPr>
            <w:r>
              <w:rPr>
                <w:rFonts w:hint="eastAsia" w:ascii="仿宋" w:hAnsi="仿宋" w:eastAsia="仿宋" w:cs="仿宋"/>
                <w:i w:val="0"/>
                <w:iCs w:val="0"/>
                <w:caps w:val="0"/>
                <w:color w:val="000000"/>
                <w:spacing w:val="0"/>
                <w:kern w:val="0"/>
                <w:sz w:val="27"/>
                <w:szCs w:val="27"/>
                <w:lang w:val="en-US" w:eastAsia="zh-CN" w:bidi="ar"/>
              </w:rPr>
              <w:t>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pPr>
            <w:r>
              <w:rPr>
                <w:rFonts w:hint="eastAsia" w:ascii="仿宋" w:hAnsi="仿宋" w:eastAsia="仿宋" w:cs="仿宋"/>
                <w:i w:val="0"/>
                <w:iCs w:val="0"/>
                <w:caps w:val="0"/>
                <w:color w:val="000000"/>
                <w:spacing w:val="0"/>
                <w:kern w:val="0"/>
                <w:sz w:val="27"/>
                <w:szCs w:val="27"/>
                <w:lang w:val="en-US" w:eastAsia="zh-CN" w:bidi="ar"/>
              </w:rPr>
              <w:t>（60分）</w:t>
            </w:r>
          </w:p>
        </w:tc>
        <w:tc>
          <w:tcPr>
            <w:tcW w:w="1446" w:type="dxa"/>
            <w:tcBorders>
              <w:top w:val="nil"/>
              <w:left w:val="nil"/>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pPr>
            <w:r>
              <w:rPr>
                <w:rFonts w:hint="eastAsia" w:ascii="仿宋" w:hAnsi="仿宋" w:eastAsia="仿宋" w:cs="仿宋"/>
                <w:i w:val="0"/>
                <w:iCs w:val="0"/>
                <w:caps w:val="0"/>
                <w:color w:val="000000"/>
                <w:spacing w:val="0"/>
                <w:kern w:val="0"/>
                <w:sz w:val="27"/>
                <w:szCs w:val="27"/>
                <w:lang w:val="en-US" w:eastAsia="zh-CN" w:bidi="ar"/>
              </w:rPr>
              <w:t>项目方案</w:t>
            </w:r>
          </w:p>
        </w:tc>
        <w:tc>
          <w:tcPr>
            <w:tcW w:w="713" w:type="dxa"/>
            <w:tcBorders>
              <w:top w:val="nil"/>
              <w:left w:val="nil"/>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pPr>
            <w:r>
              <w:rPr>
                <w:rFonts w:hint="eastAsia" w:ascii="仿宋" w:hAnsi="仿宋" w:eastAsia="仿宋" w:cs="仿宋"/>
                <w:i w:val="0"/>
                <w:iCs w:val="0"/>
                <w:caps w:val="0"/>
                <w:color w:val="000000"/>
                <w:spacing w:val="0"/>
                <w:kern w:val="0"/>
                <w:sz w:val="27"/>
                <w:szCs w:val="27"/>
                <w:lang w:val="en-US" w:eastAsia="zh-CN" w:bidi="ar"/>
              </w:rPr>
              <w:t>40</w:t>
            </w:r>
          </w:p>
        </w:tc>
        <w:tc>
          <w:tcPr>
            <w:tcW w:w="4459" w:type="dxa"/>
            <w:tcBorders>
              <w:top w:val="nil"/>
              <w:left w:val="nil"/>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center"/>
              <w:rPr>
                <w:sz w:val="20"/>
                <w:szCs w:val="22"/>
              </w:rPr>
            </w:pPr>
            <w:r>
              <w:rPr>
                <w:rFonts w:hint="eastAsia" w:ascii="仿宋" w:hAnsi="仿宋" w:eastAsia="仿宋" w:cs="仿宋"/>
                <w:i w:val="0"/>
                <w:iCs w:val="0"/>
                <w:caps w:val="0"/>
                <w:color w:val="000000"/>
                <w:spacing w:val="0"/>
                <w:kern w:val="0"/>
                <w:sz w:val="24"/>
                <w:szCs w:val="24"/>
                <w:lang w:val="en-US" w:eastAsia="zh-CN" w:bidi="ar"/>
              </w:rPr>
              <w:t>根据投标人对项目需求理解程度、项目服务方案、对重点难点分析情况以及合理化建议进行评分。包括但不限于对项目的目标、内容等的详细描述；工作目标清晰明确、工作定位准确，设计工作流程图，制定岗位工作规范及风险点隐患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center"/>
              <w:rPr>
                <w:sz w:val="20"/>
                <w:szCs w:val="22"/>
              </w:rPr>
            </w:pPr>
            <w:r>
              <w:rPr>
                <w:rFonts w:hint="eastAsia" w:ascii="仿宋" w:hAnsi="仿宋" w:eastAsia="仿宋" w:cs="仿宋"/>
                <w:i w:val="0"/>
                <w:iCs w:val="0"/>
                <w:caps w:val="0"/>
                <w:color w:val="000000"/>
                <w:spacing w:val="0"/>
                <w:kern w:val="0"/>
                <w:sz w:val="24"/>
                <w:szCs w:val="24"/>
                <w:lang w:val="en-US" w:eastAsia="zh-CN" w:bidi="ar"/>
              </w:rPr>
              <w:t>优：32-40分；良：16-31分；差：0-15分。</w:t>
            </w:r>
          </w:p>
        </w:tc>
        <w:tc>
          <w:tcPr>
            <w:tcW w:w="1590"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000000"/>
                <w:spacing w:val="0"/>
                <w:kern w:val="0"/>
                <w:sz w:val="27"/>
                <w:szCs w:val="27"/>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07" w:hRule="atLeast"/>
          <w:jc w:val="center"/>
        </w:trPr>
        <w:tc>
          <w:tcPr>
            <w:tcW w:w="1200" w:type="dxa"/>
            <w:vMerge w:val="continue"/>
            <w:tcBorders>
              <w:top w:val="nil"/>
              <w:left w:val="single" w:color="000000" w:sz="8" w:space="0"/>
              <w:bottom w:val="nil"/>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微软雅黑" w:hAnsi="微软雅黑" w:eastAsia="微软雅黑" w:cs="微软雅黑"/>
                <w:i w:val="0"/>
                <w:iCs w:val="0"/>
                <w:caps w:val="0"/>
                <w:color w:val="000000"/>
                <w:spacing w:val="0"/>
                <w:sz w:val="21"/>
                <w:szCs w:val="21"/>
              </w:rPr>
            </w:pPr>
          </w:p>
        </w:tc>
        <w:tc>
          <w:tcPr>
            <w:tcW w:w="1446" w:type="dxa"/>
            <w:tcBorders>
              <w:top w:val="nil"/>
              <w:left w:val="nil"/>
              <w:bottom w:val="nil"/>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pPr>
            <w:r>
              <w:rPr>
                <w:rFonts w:hint="eastAsia" w:ascii="仿宋" w:hAnsi="仿宋" w:eastAsia="仿宋" w:cs="仿宋"/>
                <w:i w:val="0"/>
                <w:iCs w:val="0"/>
                <w:caps w:val="0"/>
                <w:color w:val="000000"/>
                <w:spacing w:val="0"/>
                <w:kern w:val="0"/>
                <w:sz w:val="27"/>
                <w:szCs w:val="27"/>
                <w:lang w:val="en-US" w:eastAsia="zh-CN" w:bidi="ar"/>
              </w:rPr>
              <w:t>项目保障、组织管理以及质量控制</w:t>
            </w:r>
          </w:p>
        </w:tc>
        <w:tc>
          <w:tcPr>
            <w:tcW w:w="713" w:type="dxa"/>
            <w:tcBorders>
              <w:top w:val="nil"/>
              <w:left w:val="nil"/>
              <w:bottom w:val="nil"/>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pPr>
            <w:r>
              <w:rPr>
                <w:rFonts w:hint="eastAsia" w:ascii="仿宋" w:hAnsi="仿宋" w:eastAsia="仿宋" w:cs="仿宋"/>
                <w:i w:val="0"/>
                <w:iCs w:val="0"/>
                <w:caps w:val="0"/>
                <w:color w:val="000000"/>
                <w:spacing w:val="0"/>
                <w:kern w:val="0"/>
                <w:sz w:val="27"/>
                <w:szCs w:val="27"/>
                <w:lang w:val="en-US" w:eastAsia="zh-CN" w:bidi="ar"/>
              </w:rPr>
              <w:t>10</w:t>
            </w:r>
          </w:p>
        </w:tc>
        <w:tc>
          <w:tcPr>
            <w:tcW w:w="4459" w:type="dxa"/>
            <w:tcBorders>
              <w:top w:val="nil"/>
              <w:left w:val="nil"/>
              <w:bottom w:val="nil"/>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center"/>
              <w:rPr>
                <w:sz w:val="20"/>
                <w:szCs w:val="22"/>
              </w:rPr>
            </w:pPr>
            <w:r>
              <w:rPr>
                <w:rFonts w:hint="eastAsia" w:ascii="仿宋" w:hAnsi="仿宋" w:eastAsia="仿宋" w:cs="仿宋"/>
                <w:i w:val="0"/>
                <w:iCs w:val="0"/>
                <w:caps w:val="0"/>
                <w:color w:val="000000"/>
                <w:spacing w:val="0"/>
                <w:kern w:val="0"/>
                <w:sz w:val="24"/>
                <w:szCs w:val="24"/>
                <w:lang w:val="en-US" w:eastAsia="zh-CN" w:bidi="ar"/>
              </w:rPr>
              <w:t>根据投标人提供针对项目保障、组织管理以及质量控制进行评分。进度实施保障计划：项目监督方案、项目进度方案、项目追踪方案等。组织管理措施：组织架构方案、人力配置方案、管理协调机制等。质量保证措施：质量控制方案、质量控制措施、安全管理方案、测试验收方案、紧急故障处理预案及承诺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center"/>
              <w:rPr>
                <w:sz w:val="20"/>
                <w:szCs w:val="22"/>
              </w:rPr>
            </w:pPr>
            <w:r>
              <w:rPr>
                <w:rFonts w:hint="eastAsia" w:ascii="仿宋" w:hAnsi="仿宋" w:eastAsia="仿宋" w:cs="仿宋"/>
                <w:i w:val="0"/>
                <w:iCs w:val="0"/>
                <w:caps w:val="0"/>
                <w:color w:val="000000"/>
                <w:spacing w:val="0"/>
                <w:kern w:val="0"/>
                <w:sz w:val="24"/>
                <w:szCs w:val="24"/>
                <w:lang w:val="en-US" w:eastAsia="zh-CN" w:bidi="ar"/>
              </w:rPr>
              <w:t>优：8-10分；良：4-7分；差：0-3分。</w:t>
            </w:r>
          </w:p>
        </w:tc>
        <w:tc>
          <w:tcPr>
            <w:tcW w:w="1590"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000000"/>
                <w:spacing w:val="0"/>
                <w:kern w:val="0"/>
                <w:sz w:val="27"/>
                <w:szCs w:val="27"/>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68" w:hRule="atLeast"/>
          <w:jc w:val="center"/>
        </w:trPr>
        <w:tc>
          <w:tcPr>
            <w:tcW w:w="1200" w:type="dxa"/>
            <w:vMerge w:val="continue"/>
            <w:tcBorders>
              <w:top w:val="nil"/>
              <w:left w:val="single" w:color="000000" w:sz="8" w:space="0"/>
              <w:bottom w:val="nil"/>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微软雅黑" w:hAnsi="微软雅黑" w:eastAsia="微软雅黑" w:cs="微软雅黑"/>
                <w:i w:val="0"/>
                <w:iCs w:val="0"/>
                <w:caps w:val="0"/>
                <w:color w:val="000000"/>
                <w:spacing w:val="0"/>
                <w:sz w:val="21"/>
                <w:szCs w:val="21"/>
              </w:rPr>
            </w:pPr>
          </w:p>
        </w:tc>
        <w:tc>
          <w:tcPr>
            <w:tcW w:w="1446" w:type="dxa"/>
            <w:tcBorders>
              <w:top w:val="single" w:color="000000" w:sz="8" w:space="0"/>
              <w:left w:val="nil"/>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pPr>
            <w:r>
              <w:rPr>
                <w:rFonts w:hint="eastAsia" w:ascii="仿宋" w:hAnsi="仿宋" w:eastAsia="仿宋" w:cs="仿宋"/>
                <w:i w:val="0"/>
                <w:iCs w:val="0"/>
                <w:caps w:val="0"/>
                <w:color w:val="000000"/>
                <w:spacing w:val="0"/>
                <w:kern w:val="0"/>
                <w:sz w:val="27"/>
                <w:szCs w:val="27"/>
                <w:lang w:val="en-US" w:eastAsia="zh-CN" w:bidi="ar"/>
              </w:rPr>
              <w:t>售后、培训服务</w:t>
            </w:r>
          </w:p>
        </w:tc>
        <w:tc>
          <w:tcPr>
            <w:tcW w:w="713" w:type="dxa"/>
            <w:tcBorders>
              <w:top w:val="single" w:color="000000" w:sz="8" w:space="0"/>
              <w:left w:val="nil"/>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pPr>
            <w:r>
              <w:rPr>
                <w:rFonts w:hint="eastAsia" w:ascii="仿宋" w:hAnsi="仿宋" w:eastAsia="仿宋" w:cs="仿宋"/>
                <w:i w:val="0"/>
                <w:iCs w:val="0"/>
                <w:caps w:val="0"/>
                <w:color w:val="000000"/>
                <w:spacing w:val="0"/>
                <w:kern w:val="0"/>
                <w:sz w:val="27"/>
                <w:szCs w:val="27"/>
                <w:lang w:val="en-US" w:eastAsia="zh-CN" w:bidi="ar"/>
              </w:rPr>
              <w:t>10</w:t>
            </w:r>
          </w:p>
        </w:tc>
        <w:tc>
          <w:tcPr>
            <w:tcW w:w="4459" w:type="dxa"/>
            <w:tcBorders>
              <w:top w:val="single" w:color="000000" w:sz="8" w:space="0"/>
              <w:left w:val="nil"/>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center"/>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根据投标人提供的售后服务承诺、售后服务方案、培训服务承诺和培训服务方案优劣进行评分。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center"/>
              <w:rPr>
                <w:sz w:val="20"/>
                <w:szCs w:val="22"/>
              </w:rPr>
            </w:pPr>
            <w:r>
              <w:rPr>
                <w:rFonts w:hint="eastAsia" w:ascii="仿宋" w:hAnsi="仿宋" w:eastAsia="仿宋" w:cs="仿宋"/>
                <w:i w:val="0"/>
                <w:iCs w:val="0"/>
                <w:caps w:val="0"/>
                <w:color w:val="000000"/>
                <w:spacing w:val="0"/>
                <w:kern w:val="0"/>
                <w:sz w:val="24"/>
                <w:szCs w:val="24"/>
                <w:lang w:val="en-US" w:eastAsia="zh-CN" w:bidi="ar"/>
              </w:rPr>
              <w:t>优：8-10分；良：4-7分；差：0-3分。</w:t>
            </w:r>
          </w:p>
        </w:tc>
        <w:tc>
          <w:tcPr>
            <w:tcW w:w="1590"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000000"/>
                <w:spacing w:val="0"/>
                <w:kern w:val="0"/>
                <w:sz w:val="27"/>
                <w:szCs w:val="27"/>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30" w:hRule="atLeast"/>
          <w:jc w:val="center"/>
        </w:trPr>
        <w:tc>
          <w:tcPr>
            <w:tcW w:w="1200"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pPr>
            <w:r>
              <w:rPr>
                <w:rFonts w:hint="eastAsia" w:ascii="仿宋" w:hAnsi="仿宋" w:eastAsia="仿宋" w:cs="仿宋"/>
                <w:i w:val="0"/>
                <w:iCs w:val="0"/>
                <w:caps w:val="0"/>
                <w:color w:val="000000"/>
                <w:spacing w:val="0"/>
                <w:kern w:val="0"/>
                <w:sz w:val="27"/>
                <w:szCs w:val="27"/>
                <w:lang w:val="en-US" w:eastAsia="zh-CN" w:bidi="ar"/>
              </w:rPr>
              <w:t>合计</w:t>
            </w:r>
          </w:p>
        </w:tc>
        <w:tc>
          <w:tcPr>
            <w:tcW w:w="1446"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pPr>
            <w:r>
              <w:rPr>
                <w:rFonts w:hint="eastAsia" w:ascii="仿宋" w:hAnsi="仿宋" w:eastAsia="仿宋" w:cs="仿宋"/>
                <w:i w:val="0"/>
                <w:iCs w:val="0"/>
                <w:caps w:val="0"/>
                <w:color w:val="000000"/>
                <w:spacing w:val="0"/>
                <w:kern w:val="0"/>
                <w:sz w:val="27"/>
                <w:szCs w:val="27"/>
                <w:lang w:val="en-US" w:eastAsia="zh-CN" w:bidi="ar"/>
              </w:rPr>
              <w:t> </w:t>
            </w:r>
          </w:p>
        </w:tc>
        <w:tc>
          <w:tcPr>
            <w:tcW w:w="713"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pPr>
            <w:r>
              <w:rPr>
                <w:rFonts w:hint="eastAsia" w:ascii="仿宋" w:hAnsi="仿宋" w:eastAsia="仿宋" w:cs="仿宋"/>
                <w:i w:val="0"/>
                <w:iCs w:val="0"/>
                <w:caps w:val="0"/>
                <w:color w:val="000000"/>
                <w:spacing w:val="0"/>
                <w:kern w:val="0"/>
                <w:sz w:val="27"/>
                <w:szCs w:val="27"/>
                <w:lang w:val="en-US" w:eastAsia="zh-CN" w:bidi="ar"/>
              </w:rPr>
              <w:t>100</w:t>
            </w:r>
          </w:p>
        </w:tc>
        <w:tc>
          <w:tcPr>
            <w:tcW w:w="4459" w:type="dxa"/>
            <w:tcBorders>
              <w:top w:val="nil"/>
              <w:left w:val="nil"/>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center"/>
            </w:pPr>
            <w:r>
              <w:rPr>
                <w:rFonts w:hint="eastAsia" w:ascii="仿宋" w:hAnsi="仿宋" w:eastAsia="仿宋" w:cs="仿宋"/>
                <w:i w:val="0"/>
                <w:iCs w:val="0"/>
                <w:caps w:val="0"/>
                <w:color w:val="000000"/>
                <w:spacing w:val="0"/>
                <w:kern w:val="0"/>
                <w:sz w:val="27"/>
                <w:szCs w:val="27"/>
                <w:lang w:val="en-US" w:eastAsia="zh-CN" w:bidi="ar"/>
              </w:rPr>
              <w:t> </w:t>
            </w:r>
          </w:p>
        </w:tc>
        <w:tc>
          <w:tcPr>
            <w:tcW w:w="1590"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000000"/>
                <w:spacing w:val="0"/>
                <w:kern w:val="0"/>
                <w:sz w:val="27"/>
                <w:szCs w:val="27"/>
                <w:lang w:val="en-US" w:eastAsia="zh-CN" w:bidi="ar"/>
              </w:rPr>
              <w:t> </w:t>
            </w:r>
          </w:p>
        </w:tc>
      </w:tr>
    </w:tbl>
    <w:p>
      <w:pPr>
        <w:pStyle w:val="15"/>
        <w:ind w:left="0" w:leftChars="0" w:firstLine="0" w:firstLineChars="0"/>
        <w:rPr>
          <w:rFonts w:hint="default"/>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091281"/>
    <w:multiLevelType w:val="multilevel"/>
    <w:tmpl w:val="8B091281"/>
    <w:lvl w:ilvl="0" w:tentative="0">
      <w:start w:val="1"/>
      <w:numFmt w:val="decimal"/>
      <w:suff w:val="space"/>
      <w:lvlText w:val="%1."/>
      <w:lvlJc w:val="left"/>
      <w:pPr>
        <w:ind w:left="0" w:firstLine="560"/>
      </w:pPr>
    </w:lvl>
    <w:lvl w:ilvl="1" w:tentative="0">
      <w:start w:val="1"/>
      <w:numFmt w:val="decimal"/>
      <w:lvlText w:val="(%2)"/>
      <w:lvlJc w:val="left"/>
      <w:pPr>
        <w:tabs>
          <w:tab w:val="left" w:pos="840"/>
        </w:tabs>
        <w:ind w:left="840" w:leftChars="0" w:hanging="420" w:firstLineChars="0"/>
      </w:pPr>
      <w:rPr>
        <w:rFonts w:hint="default"/>
      </w:rPr>
    </w:lvl>
    <w:lvl w:ilvl="2" w:tentative="0">
      <w:start w:val="1"/>
      <w:numFmt w:val="decimalEnclosedCircleChinese"/>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338"/>
        </w:tabs>
        <w:ind w:left="0" w:leftChars="0" w:firstLine="973"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Letter"/>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Roman"/>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abstractNum w:abstractNumId="1">
    <w:nsid w:val="C7F7236C"/>
    <w:multiLevelType w:val="singleLevel"/>
    <w:tmpl w:val="C7F7236C"/>
    <w:lvl w:ilvl="0" w:tentative="0">
      <w:start w:val="1"/>
      <w:numFmt w:val="decimal"/>
      <w:suff w:val="space"/>
      <w:lvlText w:val="%1)"/>
      <w:lvlJc w:val="left"/>
    </w:lvl>
  </w:abstractNum>
  <w:abstractNum w:abstractNumId="2">
    <w:nsid w:val="00D3FB14"/>
    <w:multiLevelType w:val="singleLevel"/>
    <w:tmpl w:val="00D3FB14"/>
    <w:lvl w:ilvl="0" w:tentative="0">
      <w:start w:val="1"/>
      <w:numFmt w:val="chineseCounting"/>
      <w:suff w:val="space"/>
      <w:lvlText w:val="%1、"/>
      <w:lvlJc w:val="left"/>
      <w:rPr>
        <w:rFonts w:hint="eastAsia"/>
      </w:rPr>
    </w:lvl>
  </w:abstractNum>
  <w:abstractNum w:abstractNumId="3">
    <w:nsid w:val="14431452"/>
    <w:multiLevelType w:val="singleLevel"/>
    <w:tmpl w:val="14431452"/>
    <w:lvl w:ilvl="0" w:tentative="0">
      <w:start w:val="1"/>
      <w:numFmt w:val="decimal"/>
      <w:suff w:val="space"/>
      <w:lvlText w:val="%1、"/>
      <w:lvlJc w:val="left"/>
    </w:lvl>
  </w:abstractNum>
  <w:abstractNum w:abstractNumId="4">
    <w:nsid w:val="312F6434"/>
    <w:multiLevelType w:val="singleLevel"/>
    <w:tmpl w:val="312F6434"/>
    <w:lvl w:ilvl="0" w:tentative="0">
      <w:start w:val="1"/>
      <w:numFmt w:val="decimal"/>
      <w:lvlText w:val="(%1)"/>
      <w:lvlJc w:val="left"/>
      <w:pPr>
        <w:ind w:left="425" w:hanging="425"/>
      </w:pPr>
      <w:rPr>
        <w:rFonts w:hint="default"/>
      </w:rPr>
    </w:lvl>
  </w:abstractNum>
  <w:abstractNum w:abstractNumId="5">
    <w:nsid w:val="3D367A2D"/>
    <w:multiLevelType w:val="singleLevel"/>
    <w:tmpl w:val="3D367A2D"/>
    <w:lvl w:ilvl="0" w:tentative="0">
      <w:start w:val="1"/>
      <w:numFmt w:val="decimal"/>
      <w:suff w:val="space"/>
      <w:lvlText w:val="%1."/>
      <w:lvlJc w:val="left"/>
    </w:lvl>
  </w:abstractNum>
  <w:abstractNum w:abstractNumId="6">
    <w:nsid w:val="57946545"/>
    <w:multiLevelType w:val="multilevel"/>
    <w:tmpl w:val="57946545"/>
    <w:lvl w:ilvl="0" w:tentative="0">
      <w:start w:val="1"/>
      <w:numFmt w:val="chineseCounting"/>
      <w:pStyle w:val="3"/>
      <w:suff w:val="nothing"/>
      <w:lvlText w:val="第%1章 "/>
      <w:lvlJc w:val="left"/>
      <w:pPr>
        <w:ind w:left="432" w:hanging="432"/>
      </w:pPr>
      <w:rPr>
        <w:rFonts w:hint="eastAsia"/>
      </w:rPr>
    </w:lvl>
    <w:lvl w:ilvl="1" w:tentative="0">
      <w:start w:val="1"/>
      <w:numFmt w:val="decimal"/>
      <w:pStyle w:val="2"/>
      <w:isLgl/>
      <w:lvlText w:val="%1.%2."/>
      <w:lvlJc w:val="left"/>
      <w:pPr>
        <w:ind w:left="575" w:hanging="575"/>
      </w:pPr>
      <w:rPr>
        <w:rFonts w:hint="eastAsia"/>
      </w:rPr>
    </w:lvl>
    <w:lvl w:ilvl="2" w:tentative="0">
      <w:start w:val="1"/>
      <w:numFmt w:val="decimal"/>
      <w:pStyle w:val="4"/>
      <w:isLgl/>
      <w:lvlText w:val="%1.%2.%3."/>
      <w:lvlJc w:val="left"/>
      <w:pPr>
        <w:ind w:left="720" w:hanging="720"/>
      </w:pPr>
      <w:rPr>
        <w:rFonts w:hint="eastAsia"/>
      </w:rPr>
    </w:lvl>
    <w:lvl w:ilvl="3" w:tentative="0">
      <w:start w:val="1"/>
      <w:numFmt w:val="decimal"/>
      <w:pStyle w:val="5"/>
      <w:isLgl/>
      <w:lvlText w:val="%1.%2.%3.%4."/>
      <w:lvlJc w:val="left"/>
      <w:pPr>
        <w:ind w:left="864" w:hanging="864"/>
      </w:pPr>
      <w:rPr>
        <w:rFonts w:hint="eastAsia"/>
      </w:rPr>
    </w:lvl>
    <w:lvl w:ilvl="4" w:tentative="0">
      <w:start w:val="1"/>
      <w:numFmt w:val="decimal"/>
      <w:pStyle w:val="6"/>
      <w:isLgl/>
      <w:lvlText w:val="%1.%2.%3.%4.%5."/>
      <w:lvlJc w:val="left"/>
      <w:pPr>
        <w:ind w:left="1008" w:hanging="1008"/>
      </w:pPr>
      <w:rPr>
        <w:rFonts w:hint="eastAsia"/>
      </w:rPr>
    </w:lvl>
    <w:lvl w:ilvl="5" w:tentative="0">
      <w:start w:val="1"/>
      <w:numFmt w:val="decimal"/>
      <w:pStyle w:val="7"/>
      <w:isLgl/>
      <w:lvlText w:val="%1.%2.%3.%4.%5.%6."/>
      <w:lvlJc w:val="left"/>
      <w:pPr>
        <w:ind w:left="1151" w:hanging="1151"/>
      </w:pPr>
      <w:rPr>
        <w:rFonts w:hint="eastAsia"/>
      </w:rPr>
    </w:lvl>
    <w:lvl w:ilvl="6" w:tentative="0">
      <w:start w:val="1"/>
      <w:numFmt w:val="decimal"/>
      <w:pStyle w:val="8"/>
      <w:isLgl/>
      <w:lvlText w:val="%1.%2.%3.%4.%5.%6.%7."/>
      <w:lvlJc w:val="left"/>
      <w:pPr>
        <w:ind w:left="1296" w:hanging="1296"/>
      </w:pPr>
      <w:rPr>
        <w:rFonts w:hint="eastAsia"/>
      </w:rPr>
    </w:lvl>
    <w:lvl w:ilvl="7" w:tentative="0">
      <w:start w:val="1"/>
      <w:numFmt w:val="decimal"/>
      <w:pStyle w:val="9"/>
      <w:isLgl/>
      <w:lvlText w:val="%1.%2.%3.%4.%5.%6.%7.%8."/>
      <w:lvlJc w:val="left"/>
      <w:pPr>
        <w:ind w:left="1440" w:hanging="1440"/>
      </w:pPr>
      <w:rPr>
        <w:rFonts w:hint="eastAsia"/>
      </w:rPr>
    </w:lvl>
    <w:lvl w:ilvl="8" w:tentative="0">
      <w:start w:val="1"/>
      <w:numFmt w:val="decimal"/>
      <w:pStyle w:val="10"/>
      <w:isLgl/>
      <w:lvlText w:val="%1.%2.%3.%4.%5.%6.%7.%8.%9."/>
      <w:lvlJc w:val="left"/>
      <w:pPr>
        <w:ind w:left="1583" w:hanging="1583"/>
      </w:pPr>
      <w:rPr>
        <w:rFonts w:hint="eastAsia"/>
      </w:rPr>
    </w:lvl>
  </w:abstractNum>
  <w:num w:numId="1">
    <w:abstractNumId w:val="6"/>
  </w:num>
  <w:num w:numId="2">
    <w:abstractNumId w:val="2"/>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hYjgyOWM4YjNhNzM5NDUwNDgxYWRjMmNkZTUwYTEifQ=="/>
  </w:docVars>
  <w:rsids>
    <w:rsidRoot w:val="00000000"/>
    <w:rsid w:val="00202063"/>
    <w:rsid w:val="016E3EEF"/>
    <w:rsid w:val="01F67FB6"/>
    <w:rsid w:val="034554C5"/>
    <w:rsid w:val="061267D5"/>
    <w:rsid w:val="0AE61227"/>
    <w:rsid w:val="0C0C0229"/>
    <w:rsid w:val="0C37239B"/>
    <w:rsid w:val="0DD13077"/>
    <w:rsid w:val="0F804F9C"/>
    <w:rsid w:val="10954451"/>
    <w:rsid w:val="115640E8"/>
    <w:rsid w:val="121B743E"/>
    <w:rsid w:val="133D5341"/>
    <w:rsid w:val="13D717F0"/>
    <w:rsid w:val="15EB4137"/>
    <w:rsid w:val="16354BCC"/>
    <w:rsid w:val="164C7015"/>
    <w:rsid w:val="166B13D0"/>
    <w:rsid w:val="17AA520F"/>
    <w:rsid w:val="1862744F"/>
    <w:rsid w:val="19CE00FC"/>
    <w:rsid w:val="19E91E1A"/>
    <w:rsid w:val="1E952A2F"/>
    <w:rsid w:val="1EAC47D4"/>
    <w:rsid w:val="1EFC6F0C"/>
    <w:rsid w:val="225E1699"/>
    <w:rsid w:val="22D148E6"/>
    <w:rsid w:val="22E504B4"/>
    <w:rsid w:val="242F3F86"/>
    <w:rsid w:val="29260DE3"/>
    <w:rsid w:val="2A20252B"/>
    <w:rsid w:val="2FD162F0"/>
    <w:rsid w:val="3078685D"/>
    <w:rsid w:val="333C6037"/>
    <w:rsid w:val="356F0FA5"/>
    <w:rsid w:val="36200CAA"/>
    <w:rsid w:val="365C6212"/>
    <w:rsid w:val="37795C5A"/>
    <w:rsid w:val="38320104"/>
    <w:rsid w:val="3B8E778B"/>
    <w:rsid w:val="3BFB4B1E"/>
    <w:rsid w:val="3E6F01F8"/>
    <w:rsid w:val="40FC448A"/>
    <w:rsid w:val="43D20EE8"/>
    <w:rsid w:val="466E27C4"/>
    <w:rsid w:val="493F3AE6"/>
    <w:rsid w:val="4B4C1302"/>
    <w:rsid w:val="4B4E65EF"/>
    <w:rsid w:val="4B7533D4"/>
    <w:rsid w:val="4BF47196"/>
    <w:rsid w:val="4EB12E41"/>
    <w:rsid w:val="4F430361"/>
    <w:rsid w:val="532A0520"/>
    <w:rsid w:val="552B6115"/>
    <w:rsid w:val="566F5BA3"/>
    <w:rsid w:val="56F37C7C"/>
    <w:rsid w:val="5A751814"/>
    <w:rsid w:val="5BDB5C7C"/>
    <w:rsid w:val="5D081091"/>
    <w:rsid w:val="612A46CE"/>
    <w:rsid w:val="62AC22FF"/>
    <w:rsid w:val="63953516"/>
    <w:rsid w:val="63B66087"/>
    <w:rsid w:val="6692162D"/>
    <w:rsid w:val="6A4C28FE"/>
    <w:rsid w:val="6F353F6D"/>
    <w:rsid w:val="6FD16CB0"/>
    <w:rsid w:val="70EE7DA8"/>
    <w:rsid w:val="72FC0515"/>
    <w:rsid w:val="73B40E35"/>
    <w:rsid w:val="755236BF"/>
    <w:rsid w:val="75F50E3C"/>
    <w:rsid w:val="760458F8"/>
    <w:rsid w:val="7745341F"/>
    <w:rsid w:val="79C33ED4"/>
    <w:rsid w:val="7B355B41"/>
    <w:rsid w:val="7D0E117D"/>
    <w:rsid w:val="7EA00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numPr>
        <w:ilvl w:val="0"/>
        <w:numId w:val="1"/>
      </w:numPr>
      <w:spacing w:before="340" w:beforeLines="0" w:beforeAutospacing="0" w:after="330" w:afterLines="0" w:afterAutospacing="0" w:line="576" w:lineRule="auto"/>
      <w:ind w:left="432" w:hanging="432"/>
      <w:outlineLvl w:val="0"/>
    </w:pPr>
    <w:rPr>
      <w:b/>
      <w:kern w:val="44"/>
      <w:sz w:val="44"/>
    </w:rPr>
  </w:style>
  <w:style w:type="paragraph" w:styleId="2">
    <w:name w:val="heading 2"/>
    <w:basedOn w:val="1"/>
    <w:next w:val="1"/>
    <w:unhideWhenUsed/>
    <w:qFormat/>
    <w:uiPriority w:val="0"/>
    <w:pPr>
      <w:keepNext/>
      <w:keepLines/>
      <w:numPr>
        <w:ilvl w:val="1"/>
        <w:numId w:val="1"/>
      </w:numPr>
      <w:spacing w:before="260" w:beforeLines="0" w:beforeAutospacing="0" w:after="260" w:afterLines="0" w:afterAutospacing="0" w:line="413" w:lineRule="auto"/>
      <w:ind w:left="575" w:hanging="575"/>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ind w:left="720" w:hanging="720"/>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left="864" w:hanging="864"/>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4">
    <w:name w:val="Emphasis"/>
    <w:basedOn w:val="13"/>
    <w:qFormat/>
    <w:uiPriority w:val="0"/>
    <w:rPr>
      <w:i/>
    </w:rPr>
  </w:style>
  <w:style w:type="paragraph" w:customStyle="1" w:styleId="15">
    <w:name w:val="_Style 3"/>
    <w:basedOn w:val="1"/>
    <w:qFormat/>
    <w:uiPriority w:val="0"/>
    <w:pPr>
      <w:adjustRightInd/>
      <w:ind w:firstLine="420" w:firstLineChars="200"/>
    </w:pPr>
    <w:rPr>
      <w:rFonts w:eastAsia="仿宋_GB2312"/>
      <w:sz w:val="28"/>
    </w:rPr>
  </w:style>
  <w:style w:type="character" w:customStyle="1" w:styleId="16">
    <w:name w:val="font9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2024-02-27T08:35:00Z</dcterms:created>
  <dc:creator>admin</dc:creator>
  <cp:lastModifiedBy>zhangk</cp:lastModifiedBy>
  <cp:lastPrinted>2024-03-04T02:31:00Z</cp:lastPrinted>
  <dcterms:modified xsi:type="dcterms:W3CDTF">2024-03-27T04:32:41Z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1DBE85F5AC6C4DDA8409F2D62B83688B_12</vt:lpwstr>
  </property>
</Properties>
</file>